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6344" w14:textId="380D6E43" w:rsidR="005522F9" w:rsidRDefault="005522F9" w:rsidP="00533E6F">
      <w:pPr>
        <w:rPr>
          <w:rStyle w:val="IntenseReference"/>
          <w:rFonts w:asciiTheme="majorHAnsi" w:eastAsiaTheme="majorEastAsia" w:hAnsiTheme="majorHAnsi" w:cstheme="majorBidi"/>
          <w:color w:val="0070C0"/>
          <w:kern w:val="28"/>
          <w:sz w:val="40"/>
          <w:szCs w:val="40"/>
        </w:rPr>
      </w:pPr>
      <w:r w:rsidRPr="005522F9">
        <w:rPr>
          <w:rStyle w:val="IntenseReference"/>
          <w:rFonts w:asciiTheme="majorHAnsi" w:eastAsiaTheme="majorEastAsia" w:hAnsiTheme="majorHAnsi" w:cstheme="majorBidi"/>
          <w:color w:val="0070C0"/>
          <w:kern w:val="28"/>
          <w:sz w:val="40"/>
          <w:szCs w:val="40"/>
        </w:rPr>
        <w:t>Legislative Rate &amp; Case Mix Budget Increases Effective 1/1/202</w:t>
      </w:r>
      <w:r>
        <w:rPr>
          <w:rStyle w:val="IntenseReference"/>
          <w:rFonts w:asciiTheme="majorHAnsi" w:eastAsiaTheme="majorEastAsia" w:hAnsiTheme="majorHAnsi" w:cstheme="majorBidi"/>
          <w:color w:val="0070C0"/>
          <w:kern w:val="28"/>
          <w:sz w:val="40"/>
          <w:szCs w:val="40"/>
        </w:rPr>
        <w:t>6</w:t>
      </w:r>
    </w:p>
    <w:p w14:paraId="526C69BC" w14:textId="62654CD2" w:rsidR="005522F9" w:rsidRPr="00BB1DD7" w:rsidRDefault="005522F9" w:rsidP="005522F9">
      <w:pPr>
        <w:adjustRightInd w:val="0"/>
        <w:spacing w:line="240" w:lineRule="auto"/>
        <w:rPr>
          <w:rFonts w:cstheme="minorHAnsi"/>
        </w:rPr>
      </w:pPr>
      <w:r w:rsidRPr="00BB1DD7">
        <w:rPr>
          <w:rFonts w:cstheme="minorHAnsi"/>
        </w:rPr>
        <w:t>Effective January 1</w:t>
      </w:r>
      <w:r w:rsidRPr="00BB1DD7">
        <w:rPr>
          <w:rFonts w:cstheme="minorHAnsi"/>
          <w:vertAlign w:val="superscript"/>
        </w:rPr>
        <w:t>st</w:t>
      </w:r>
      <w:proofErr w:type="gramStart"/>
      <w:r w:rsidRPr="00BB1DD7">
        <w:rPr>
          <w:rFonts w:cstheme="minorHAnsi"/>
          <w:vertAlign w:val="superscript"/>
        </w:rPr>
        <w:t xml:space="preserve"> </w:t>
      </w:r>
      <w:r w:rsidRPr="00BB1DD7">
        <w:rPr>
          <w:rFonts w:cstheme="minorHAnsi"/>
        </w:rPr>
        <w:t>2026</w:t>
      </w:r>
      <w:proofErr w:type="gramEnd"/>
      <w:r w:rsidRPr="00BB1DD7">
        <w:rPr>
          <w:rFonts w:cstheme="minorHAnsi"/>
        </w:rPr>
        <w:t>, DHS will implement the following rate and budget increases:</w:t>
      </w:r>
    </w:p>
    <w:p w14:paraId="1B113700" w14:textId="64E50F82" w:rsidR="005522F9" w:rsidRPr="00BB1DD7" w:rsidRDefault="005522F9" w:rsidP="005522F9">
      <w:pPr>
        <w:pStyle w:val="ListParagraph"/>
        <w:numPr>
          <w:ilvl w:val="0"/>
          <w:numId w:val="40"/>
        </w:numPr>
        <w:adjustRightInd w:val="0"/>
        <w:spacing w:before="0" w:line="240" w:lineRule="auto"/>
        <w:rPr>
          <w:rFonts w:cstheme="minorHAnsi"/>
        </w:rPr>
      </w:pPr>
      <w:r w:rsidRPr="00BB1DD7">
        <w:rPr>
          <w:rFonts w:cstheme="minorHAnsi"/>
        </w:rPr>
        <w:t>6.013% increase to EW monthly case-mix budget caps.</w:t>
      </w:r>
    </w:p>
    <w:p w14:paraId="7E77C627" w14:textId="31ED04E4" w:rsidR="005522F9" w:rsidRPr="00BB1DD7" w:rsidRDefault="005522F9" w:rsidP="005522F9">
      <w:pPr>
        <w:pStyle w:val="ListParagraph"/>
        <w:numPr>
          <w:ilvl w:val="0"/>
          <w:numId w:val="40"/>
        </w:numPr>
        <w:adjustRightInd w:val="0"/>
        <w:spacing w:before="0" w:line="240" w:lineRule="auto"/>
        <w:rPr>
          <w:rFonts w:cstheme="minorHAnsi"/>
        </w:rPr>
      </w:pPr>
      <w:r w:rsidRPr="00BB1DD7">
        <w:rPr>
          <w:rFonts w:cstheme="minorHAnsi"/>
        </w:rPr>
        <w:t>6.013% increase to consumer-directed community supports (CDCS) budgets</w:t>
      </w:r>
    </w:p>
    <w:p w14:paraId="53F9B2A0" w14:textId="33332BE9" w:rsidR="005522F9" w:rsidRPr="00BB1DD7" w:rsidRDefault="005522F9" w:rsidP="005522F9">
      <w:pPr>
        <w:pStyle w:val="ListParagraph"/>
        <w:numPr>
          <w:ilvl w:val="0"/>
          <w:numId w:val="40"/>
        </w:numPr>
        <w:adjustRightInd w:val="0"/>
        <w:spacing w:before="0" w:line="240" w:lineRule="auto"/>
        <w:rPr>
          <w:rFonts w:cstheme="minorHAnsi"/>
          <w:b/>
          <w:bCs/>
        </w:rPr>
      </w:pPr>
      <w:r w:rsidRPr="00BB1DD7">
        <w:rPr>
          <w:rFonts w:cstheme="minorHAnsi"/>
        </w:rPr>
        <w:t xml:space="preserve">6.013% increase to EW 24-hour customized living daily and monthly limits. </w:t>
      </w:r>
      <w:r w:rsidRPr="00BB1DD7">
        <w:rPr>
          <w:rFonts w:cstheme="minorHAnsi"/>
          <w:b/>
          <w:bCs/>
        </w:rPr>
        <w:t>This change will happen on a rolling basis as lead agencies renew service plans throughout the year.</w:t>
      </w:r>
    </w:p>
    <w:p w14:paraId="2D468E4D" w14:textId="28E2D024" w:rsidR="005522F9" w:rsidRPr="00BB1DD7" w:rsidRDefault="005522F9" w:rsidP="005522F9">
      <w:pPr>
        <w:pStyle w:val="ListParagraph"/>
        <w:numPr>
          <w:ilvl w:val="0"/>
          <w:numId w:val="40"/>
        </w:numPr>
        <w:adjustRightInd w:val="0"/>
        <w:spacing w:before="0" w:line="240" w:lineRule="auto"/>
        <w:rPr>
          <w:rFonts w:cstheme="minorHAnsi"/>
        </w:rPr>
      </w:pPr>
      <w:r w:rsidRPr="00BB1DD7">
        <w:rPr>
          <w:rFonts w:cstheme="minorHAnsi"/>
        </w:rPr>
        <w:t>6.34% increase in home-delivered meals.</w:t>
      </w:r>
    </w:p>
    <w:p w14:paraId="622E701D" w14:textId="36BFEED2" w:rsidR="005522F9" w:rsidRPr="00BB1DD7" w:rsidRDefault="005522F9" w:rsidP="005522F9">
      <w:pPr>
        <w:pStyle w:val="ListParagraph"/>
        <w:numPr>
          <w:ilvl w:val="0"/>
          <w:numId w:val="40"/>
        </w:numPr>
        <w:adjustRightInd w:val="0"/>
        <w:spacing w:before="0" w:line="240" w:lineRule="auto"/>
        <w:rPr>
          <w:rFonts w:cstheme="minorHAnsi"/>
        </w:rPr>
      </w:pPr>
      <w:r w:rsidRPr="00BB1DD7">
        <w:rPr>
          <w:rFonts w:cstheme="minorHAnsi"/>
        </w:rPr>
        <w:t>2.7% increase to environmental accessibility adaptations (EAA).</w:t>
      </w:r>
    </w:p>
    <w:p w14:paraId="06CDE237" w14:textId="7BA6D2FF" w:rsidR="005522F9" w:rsidRPr="00BB1DD7" w:rsidRDefault="005522F9" w:rsidP="005522F9">
      <w:pPr>
        <w:pStyle w:val="ListParagraph"/>
        <w:numPr>
          <w:ilvl w:val="0"/>
          <w:numId w:val="40"/>
        </w:numPr>
        <w:adjustRightInd w:val="0"/>
        <w:spacing w:before="0" w:line="240" w:lineRule="auto"/>
        <w:rPr>
          <w:rFonts w:cstheme="minorHAnsi"/>
        </w:rPr>
      </w:pPr>
      <w:r w:rsidRPr="00BB1DD7">
        <w:rPr>
          <w:rFonts w:cstheme="minorHAnsi"/>
        </w:rPr>
        <w:t>State Plan Home Care:</w:t>
      </w:r>
    </w:p>
    <w:p w14:paraId="236BFAF9" w14:textId="034C4FCE" w:rsidR="005522F9" w:rsidRPr="00BB1DD7" w:rsidRDefault="005522F9" w:rsidP="005522F9">
      <w:pPr>
        <w:pStyle w:val="ListParagraph"/>
        <w:numPr>
          <w:ilvl w:val="1"/>
          <w:numId w:val="40"/>
        </w:numPr>
        <w:adjustRightInd w:val="0"/>
        <w:spacing w:before="0" w:line="240" w:lineRule="auto"/>
        <w:rPr>
          <w:rFonts w:cstheme="minorHAnsi"/>
        </w:rPr>
      </w:pPr>
      <w:r w:rsidRPr="00BB1DD7">
        <w:rPr>
          <w:rFonts w:cstheme="minorHAnsi"/>
        </w:rPr>
        <w:t>3.19% increase in home health aide, skilled nursing, occupational therapy, physical therapy, respiratory therapy, and speech therapy (market basket adjustment).</w:t>
      </w:r>
    </w:p>
    <w:p w14:paraId="7AE6ECCA" w14:textId="77777777" w:rsidR="005522F9" w:rsidRPr="00BB1DD7" w:rsidRDefault="005522F9" w:rsidP="005522F9">
      <w:pPr>
        <w:pStyle w:val="ListParagraph"/>
        <w:numPr>
          <w:ilvl w:val="1"/>
          <w:numId w:val="40"/>
        </w:numPr>
        <w:adjustRightInd w:val="0"/>
        <w:spacing w:before="0" w:line="240" w:lineRule="auto"/>
        <w:rPr>
          <w:rFonts w:cstheme="minorHAnsi"/>
        </w:rPr>
      </w:pPr>
      <w:r w:rsidRPr="00BB1DD7">
        <w:rPr>
          <w:rFonts w:cstheme="minorHAnsi"/>
        </w:rPr>
        <w:t>The same percentage increases also apply to extended home care services.</w:t>
      </w:r>
    </w:p>
    <w:p w14:paraId="0816F048" w14:textId="29A9DC25" w:rsidR="005522F9" w:rsidRPr="00BB1DD7" w:rsidRDefault="005522F9" w:rsidP="005522F9">
      <w:pPr>
        <w:pStyle w:val="ListParagraph"/>
        <w:numPr>
          <w:ilvl w:val="0"/>
          <w:numId w:val="40"/>
        </w:numPr>
        <w:adjustRightInd w:val="0"/>
        <w:spacing w:before="0" w:line="240" w:lineRule="auto"/>
        <w:rPr>
          <w:rFonts w:cstheme="minorHAnsi"/>
        </w:rPr>
      </w:pPr>
      <w:r w:rsidRPr="00BB1DD7">
        <w:rPr>
          <w:rFonts w:cstheme="minorHAnsi"/>
        </w:rPr>
        <w:t>PCA/CFSS rate increases include changes to the wage component value and implementation factor within the PCA/CFSS rate framework:</w:t>
      </w:r>
    </w:p>
    <w:p w14:paraId="730CB293" w14:textId="34F22B4F" w:rsidR="005522F9" w:rsidRPr="00BB1DD7" w:rsidRDefault="005522F9" w:rsidP="005522F9">
      <w:pPr>
        <w:pStyle w:val="ListParagraph"/>
        <w:numPr>
          <w:ilvl w:val="1"/>
          <w:numId w:val="40"/>
        </w:numPr>
        <w:adjustRightInd w:val="0"/>
        <w:spacing w:before="0" w:line="240" w:lineRule="auto"/>
        <w:rPr>
          <w:rFonts w:cstheme="minorHAnsi"/>
        </w:rPr>
      </w:pPr>
      <w:r w:rsidRPr="00BB1DD7">
        <w:rPr>
          <w:rFonts w:cstheme="minorHAnsi"/>
        </w:rPr>
        <w:t>.13% increase to 1:1 PCA/CFSS, PCA supervision and CFSS worker training and development.</w:t>
      </w:r>
    </w:p>
    <w:p w14:paraId="2AFEC7DB" w14:textId="792BAD6F" w:rsidR="005522F9" w:rsidRPr="00BB1DD7" w:rsidRDefault="005522F9" w:rsidP="005522F9">
      <w:pPr>
        <w:pStyle w:val="ListParagraph"/>
        <w:numPr>
          <w:ilvl w:val="1"/>
          <w:numId w:val="40"/>
        </w:numPr>
        <w:adjustRightInd w:val="0"/>
        <w:spacing w:before="0" w:line="240" w:lineRule="auto"/>
        <w:rPr>
          <w:rFonts w:cstheme="minorHAnsi"/>
        </w:rPr>
      </w:pPr>
      <w:r w:rsidRPr="00BB1DD7">
        <w:rPr>
          <w:rFonts w:cstheme="minorHAnsi"/>
        </w:rPr>
        <w:t>4.79% increase to PCA/CFSS complex.</w:t>
      </w:r>
    </w:p>
    <w:p w14:paraId="0B45DD26" w14:textId="77777777" w:rsidR="005522F9" w:rsidRPr="00BB1DD7" w:rsidRDefault="005522F9" w:rsidP="005522F9">
      <w:pPr>
        <w:pStyle w:val="ListParagraph"/>
        <w:numPr>
          <w:ilvl w:val="1"/>
          <w:numId w:val="40"/>
        </w:numPr>
        <w:adjustRightInd w:val="0"/>
        <w:spacing w:before="0" w:line="240" w:lineRule="auto"/>
        <w:rPr>
          <w:rFonts w:cstheme="minorHAnsi"/>
        </w:rPr>
      </w:pPr>
      <w:r w:rsidRPr="00BB1DD7">
        <w:rPr>
          <w:rFonts w:cstheme="minorHAnsi"/>
        </w:rPr>
        <w:t>The same percentage increases also apply to extended PCA/CFSS.</w:t>
      </w:r>
    </w:p>
    <w:p w14:paraId="1241C450" w14:textId="77777777" w:rsidR="005522F9" w:rsidRPr="00BB1DD7" w:rsidRDefault="005522F9" w:rsidP="005522F9">
      <w:pPr>
        <w:autoSpaceDE w:val="0"/>
        <w:autoSpaceDN w:val="0"/>
        <w:adjustRightInd w:val="0"/>
        <w:rPr>
          <w:rFonts w:cstheme="minorHAnsi"/>
        </w:rPr>
      </w:pPr>
    </w:p>
    <w:p w14:paraId="0014EBCF" w14:textId="046F578F" w:rsidR="005522F9" w:rsidRPr="00BB1DD7" w:rsidRDefault="005522F9" w:rsidP="005522F9">
      <w:pPr>
        <w:autoSpaceDE w:val="0"/>
        <w:autoSpaceDN w:val="0"/>
        <w:adjustRightInd w:val="0"/>
        <w:rPr>
          <w:rFonts w:cstheme="minorHAnsi"/>
        </w:rPr>
      </w:pPr>
      <w:r w:rsidRPr="00BB1DD7">
        <w:rPr>
          <w:rFonts w:cstheme="minorHAnsi"/>
        </w:rPr>
        <w:t xml:space="preserve">For more information, refer to the </w:t>
      </w:r>
      <w:hyperlink r:id="rId10" w:history="1">
        <w:r w:rsidRPr="00BB1DD7">
          <w:rPr>
            <w:rStyle w:val="Hyperlink"/>
            <w:rFonts w:cstheme="minorHAnsi"/>
          </w:rPr>
          <w:t>DHS 3945 Long Term Services and Supports Service Rate Limits</w:t>
        </w:r>
      </w:hyperlink>
      <w:r w:rsidRPr="00BB1DD7">
        <w:rPr>
          <w:rFonts w:cstheme="minorHAnsi"/>
        </w:rPr>
        <w:t xml:space="preserve"> and the </w:t>
      </w:r>
      <w:hyperlink r:id="rId11" w:history="1">
        <w:r w:rsidRPr="00BB1DD7">
          <w:rPr>
            <w:rStyle w:val="Hyperlink"/>
            <w:rFonts w:cstheme="minorHAnsi"/>
          </w:rPr>
          <w:t>DHS announcement</w:t>
        </w:r>
      </w:hyperlink>
      <w:r w:rsidRPr="00BB1DD7">
        <w:rPr>
          <w:rFonts w:cstheme="minorHAnsi"/>
        </w:rPr>
        <w:t xml:space="preserve"> on Long-term services and support rate changes.  </w:t>
      </w:r>
    </w:p>
    <w:p w14:paraId="3DA72743" w14:textId="77777777" w:rsidR="005522F9" w:rsidRPr="00DD7DB8" w:rsidRDefault="005522F9" w:rsidP="005522F9">
      <w:pPr>
        <w:pStyle w:val="Heading1"/>
        <w:rPr>
          <w:rFonts w:asciiTheme="minorHAnsi" w:hAnsiTheme="minorHAnsi" w:cstheme="minorHAnsi"/>
          <w:b/>
          <w:color w:val="0070C0"/>
          <w:sz w:val="28"/>
          <w:szCs w:val="28"/>
        </w:rPr>
      </w:pPr>
      <w:r w:rsidRPr="00DD7DB8">
        <w:rPr>
          <w:rFonts w:asciiTheme="minorHAnsi" w:hAnsiTheme="minorHAnsi" w:cstheme="minorHAnsi"/>
          <w:b/>
          <w:color w:val="0070C0"/>
          <w:sz w:val="28"/>
          <w:szCs w:val="28"/>
        </w:rPr>
        <w:t>Bridgeview auto-updates:</w:t>
      </w:r>
    </w:p>
    <w:p w14:paraId="5099FE9F" w14:textId="334D1AAE" w:rsidR="005522F9" w:rsidRPr="00BB1DD7" w:rsidRDefault="005522F9" w:rsidP="005522F9">
      <w:pPr>
        <w:autoSpaceDE w:val="0"/>
        <w:autoSpaceDN w:val="0"/>
        <w:adjustRightInd w:val="0"/>
        <w:ind w:left="360"/>
        <w:rPr>
          <w:rFonts w:cstheme="minorHAnsi"/>
        </w:rPr>
      </w:pPr>
      <w:r w:rsidRPr="00BB1DD7">
        <w:rPr>
          <w:rFonts w:cstheme="minorHAnsi"/>
        </w:rPr>
        <w:t xml:space="preserve">On Saturday, December </w:t>
      </w:r>
      <w:r w:rsidR="005B2303" w:rsidRPr="00BB1DD7">
        <w:rPr>
          <w:rFonts w:cstheme="minorHAnsi"/>
        </w:rPr>
        <w:t>20</w:t>
      </w:r>
      <w:r w:rsidRPr="00BB1DD7">
        <w:rPr>
          <w:rFonts w:cstheme="minorHAnsi"/>
        </w:rPr>
        <w:t xml:space="preserve">th, Bridgeview staff </w:t>
      </w:r>
      <w:r w:rsidR="005B2303" w:rsidRPr="00BB1DD7">
        <w:rPr>
          <w:rFonts w:cstheme="minorHAnsi"/>
        </w:rPr>
        <w:t xml:space="preserve">will </w:t>
      </w:r>
      <w:r w:rsidRPr="00BB1DD7">
        <w:rPr>
          <w:rFonts w:cstheme="minorHAnsi"/>
        </w:rPr>
        <w:t>automatically split and update all service agreements that are subject to the rate changes for 1/1/202</w:t>
      </w:r>
      <w:r w:rsidR="005B2303" w:rsidRPr="00BB1DD7">
        <w:rPr>
          <w:rFonts w:cstheme="minorHAnsi"/>
        </w:rPr>
        <w:t>6</w:t>
      </w:r>
      <w:r w:rsidRPr="00BB1DD7">
        <w:rPr>
          <w:rFonts w:cstheme="minorHAnsi"/>
        </w:rPr>
        <w:t xml:space="preserve">, </w:t>
      </w:r>
      <w:r w:rsidR="00CA344B" w:rsidRPr="00BB1DD7">
        <w:rPr>
          <w:rFonts w:cstheme="minorHAnsi"/>
        </w:rPr>
        <w:t>except for</w:t>
      </w:r>
      <w:r w:rsidRPr="00BB1DD7">
        <w:rPr>
          <w:rFonts w:cstheme="minorHAnsi"/>
        </w:rPr>
        <w:t xml:space="preserve"> 24-hour Customized Living</w:t>
      </w:r>
      <w:r w:rsidR="005B2303" w:rsidRPr="00BB1DD7">
        <w:rPr>
          <w:rFonts w:cstheme="minorHAnsi"/>
        </w:rPr>
        <w:t xml:space="preserve"> and </w:t>
      </w:r>
      <w:r w:rsidRPr="00BB1DD7">
        <w:rPr>
          <w:rFonts w:cstheme="minorHAnsi"/>
        </w:rPr>
        <w:t>CDCS</w:t>
      </w:r>
      <w:r w:rsidR="005B2303" w:rsidRPr="00BB1DD7">
        <w:rPr>
          <w:rFonts w:cstheme="minorHAnsi"/>
        </w:rPr>
        <w:t>.</w:t>
      </w:r>
      <w:r w:rsidRPr="00BB1DD7">
        <w:rPr>
          <w:rFonts w:cstheme="minorHAnsi"/>
        </w:rPr>
        <w:t xml:space="preserve"> </w:t>
      </w:r>
    </w:p>
    <w:p w14:paraId="54A1068F" w14:textId="77777777" w:rsidR="006B0BA7" w:rsidRPr="006B0BA7" w:rsidRDefault="005522F9" w:rsidP="006B0BA7">
      <w:pPr>
        <w:pStyle w:val="ListParagraph"/>
        <w:numPr>
          <w:ilvl w:val="0"/>
          <w:numId w:val="41"/>
        </w:numPr>
        <w:spacing w:line="240" w:lineRule="auto"/>
        <w:rPr>
          <w:rFonts w:eastAsia="Times New Roman"/>
        </w:rPr>
      </w:pPr>
      <w:r w:rsidRPr="00BB1DD7">
        <w:rPr>
          <w:rFonts w:cstheme="minorHAnsi"/>
        </w:rPr>
        <w:t>Care Coordinators should review service agreements for accuracy and update the</w:t>
      </w:r>
      <w:r w:rsidR="00E804BF" w:rsidRPr="00BB1DD7">
        <w:rPr>
          <w:rFonts w:cstheme="minorHAnsi"/>
        </w:rPr>
        <w:t xml:space="preserve"> </w:t>
      </w:r>
      <w:r w:rsidRPr="00BB1DD7">
        <w:rPr>
          <w:rFonts w:cstheme="minorHAnsi"/>
        </w:rPr>
        <w:t>MnC</w:t>
      </w:r>
      <w:r w:rsidR="00E804BF" w:rsidRPr="00BB1DD7">
        <w:rPr>
          <w:rFonts w:cstheme="minorHAnsi"/>
        </w:rPr>
        <w:t>HOICES</w:t>
      </w:r>
      <w:r w:rsidRPr="00BB1DD7">
        <w:rPr>
          <w:rFonts w:cstheme="minorHAnsi"/>
        </w:rPr>
        <w:t xml:space="preserve"> Support Plan to ensure the services are within the member’s EW monthly budget cap. </w:t>
      </w:r>
    </w:p>
    <w:p w14:paraId="296EF399" w14:textId="3783C172" w:rsidR="006B0BA7" w:rsidRPr="00BB1DD7" w:rsidRDefault="006B0BA7" w:rsidP="006B0BA7">
      <w:pPr>
        <w:pStyle w:val="ListParagraph"/>
        <w:numPr>
          <w:ilvl w:val="1"/>
          <w:numId w:val="41"/>
        </w:numPr>
        <w:spacing w:line="240" w:lineRule="auto"/>
        <w:rPr>
          <w:rFonts w:eastAsia="Times New Roman"/>
        </w:rPr>
      </w:pPr>
      <w:r w:rsidRPr="00BB1DD7">
        <w:rPr>
          <w:rFonts w:eastAsia="Times New Roman"/>
        </w:rPr>
        <w:t xml:space="preserve">If a member receives a formal MA Home Care service such as SNV, home health aide services, PCA, and CFSS, rates will be adjusted in the back end, but will display in Bridgeview at the previous rate until next RA. </w:t>
      </w:r>
    </w:p>
    <w:p w14:paraId="3EC9F39A" w14:textId="74E82CA3" w:rsidR="005522F9" w:rsidRPr="006B0BA7" w:rsidRDefault="006B0BA7" w:rsidP="006B0BA7">
      <w:pPr>
        <w:numPr>
          <w:ilvl w:val="1"/>
          <w:numId w:val="41"/>
        </w:numPr>
        <w:spacing w:after="0" w:line="240" w:lineRule="auto"/>
        <w:rPr>
          <w:rFonts w:eastAsia="Times New Roman"/>
        </w:rPr>
      </w:pPr>
      <w:r w:rsidRPr="00BB1DD7">
        <w:rPr>
          <w:rFonts w:eastAsia="Times New Roman"/>
        </w:rPr>
        <w:t xml:space="preserve">Care Coordinators should evaluate if these rate increases will potentially move a member over budget and if their service plan may need to be revised. Follow normal DTR process if applicable. </w:t>
      </w:r>
    </w:p>
    <w:p w14:paraId="64932C9E" w14:textId="6FAB6C78" w:rsidR="005522F9" w:rsidRPr="00BB1DD7" w:rsidRDefault="005522F9" w:rsidP="005522F9">
      <w:pPr>
        <w:pStyle w:val="ListParagraph"/>
        <w:numPr>
          <w:ilvl w:val="0"/>
          <w:numId w:val="41"/>
        </w:numPr>
        <w:adjustRightInd w:val="0"/>
        <w:spacing w:after="120" w:line="240" w:lineRule="auto"/>
        <w:rPr>
          <w:rFonts w:cstheme="minorHAnsi"/>
        </w:rPr>
      </w:pPr>
      <w:r w:rsidRPr="00BB1DD7">
        <w:rPr>
          <w:rFonts w:cstheme="minorHAnsi"/>
        </w:rPr>
        <w:t xml:space="preserve">If you notice any issues with your service agreement updates, please email </w:t>
      </w:r>
      <w:hyperlink r:id="rId12" w:history="1">
        <w:r w:rsidR="00BB1DD7" w:rsidRPr="00BB1DD7">
          <w:rPr>
            <w:rStyle w:val="Hyperlink"/>
            <w:rFonts w:cstheme="minorHAnsi"/>
          </w:rPr>
          <w:t>Bridgeview.Service.Agreements@bluecrossmn.com</w:t>
        </w:r>
      </w:hyperlink>
      <w:r w:rsidRPr="00BB1DD7">
        <w:rPr>
          <w:rFonts w:cstheme="minorHAnsi"/>
        </w:rPr>
        <w:t>.</w:t>
      </w:r>
    </w:p>
    <w:p w14:paraId="7D2382C9" w14:textId="0A929E2F" w:rsidR="005522F9" w:rsidRPr="00BB1DD7" w:rsidRDefault="005522F9" w:rsidP="005522F9">
      <w:pPr>
        <w:pStyle w:val="ListParagraph"/>
        <w:numPr>
          <w:ilvl w:val="0"/>
          <w:numId w:val="41"/>
        </w:numPr>
        <w:adjustRightInd w:val="0"/>
        <w:spacing w:after="120" w:line="240" w:lineRule="auto"/>
        <w:rPr>
          <w:rFonts w:cstheme="minorHAnsi"/>
        </w:rPr>
      </w:pPr>
      <w:r w:rsidRPr="00BB1DD7">
        <w:rPr>
          <w:rFonts w:cstheme="minorHAnsi"/>
        </w:rPr>
        <w:t xml:space="preserve">The new rate increases are not automatically applied to existing service agreements for EW CDCS budget increases and 24 CL rate plans. In the event the member requires additional services, the service agreements for </w:t>
      </w:r>
      <w:r w:rsidRPr="00BB1DD7">
        <w:rPr>
          <w:rFonts w:cstheme="minorHAnsi"/>
          <w:b/>
        </w:rPr>
        <w:t>EW 24-hour CL</w:t>
      </w:r>
      <w:r w:rsidRPr="00BB1DD7">
        <w:rPr>
          <w:rFonts w:cstheme="minorHAnsi"/>
        </w:rPr>
        <w:t xml:space="preserve"> and </w:t>
      </w:r>
      <w:r w:rsidRPr="00BB1DD7">
        <w:rPr>
          <w:rFonts w:cstheme="minorHAnsi"/>
          <w:b/>
        </w:rPr>
        <w:t>CDCS</w:t>
      </w:r>
      <w:r w:rsidRPr="00BB1DD7">
        <w:rPr>
          <w:rFonts w:cstheme="minorHAnsi"/>
        </w:rPr>
        <w:t xml:space="preserve"> will require the CC to review and manually split existing service agreements. Members must have unmet assessed needs with the current plan. If the member needs new or additional services, follow the guidance </w:t>
      </w:r>
      <w:r w:rsidR="000D17AF" w:rsidRPr="00BB1DD7">
        <w:rPr>
          <w:rFonts w:cstheme="minorHAnsi"/>
        </w:rPr>
        <w:t xml:space="preserve">outlined in the </w:t>
      </w:r>
      <w:r w:rsidR="006B65FB" w:rsidRPr="00BB1DD7">
        <w:rPr>
          <w:rFonts w:cstheme="minorHAnsi"/>
          <w:b/>
          <w:bCs/>
        </w:rPr>
        <w:t xml:space="preserve">12-17-2025 </w:t>
      </w:r>
      <w:r w:rsidR="000D17AF" w:rsidRPr="00BB1DD7">
        <w:rPr>
          <w:rFonts w:cstheme="minorHAnsi"/>
          <w:b/>
          <w:bCs/>
        </w:rPr>
        <w:t xml:space="preserve">CDCS </w:t>
      </w:r>
      <w:r w:rsidR="006B65FB" w:rsidRPr="00BB1DD7">
        <w:rPr>
          <w:rFonts w:cstheme="minorHAnsi"/>
          <w:b/>
          <w:bCs/>
        </w:rPr>
        <w:t xml:space="preserve">Legislative </w:t>
      </w:r>
      <w:r w:rsidR="000D17AF" w:rsidRPr="00BB1DD7">
        <w:rPr>
          <w:rFonts w:cstheme="minorHAnsi"/>
          <w:b/>
          <w:bCs/>
        </w:rPr>
        <w:t>Rate Increase Communique</w:t>
      </w:r>
      <w:r w:rsidR="000D17AF" w:rsidRPr="00BB1DD7">
        <w:rPr>
          <w:rFonts w:cstheme="minorHAnsi"/>
        </w:rPr>
        <w:t xml:space="preserve">. </w:t>
      </w:r>
    </w:p>
    <w:p w14:paraId="565D4D9B" w14:textId="77777777" w:rsidR="005522F9" w:rsidRPr="00DD7DB8" w:rsidRDefault="005522F9" w:rsidP="005522F9">
      <w:pPr>
        <w:pStyle w:val="Heading1"/>
        <w:rPr>
          <w:rFonts w:asciiTheme="minorHAnsi" w:eastAsia="Calibri" w:hAnsiTheme="minorHAnsi" w:cstheme="minorHAnsi"/>
          <w:b/>
          <w:color w:val="0070C0"/>
          <w:sz w:val="28"/>
          <w:szCs w:val="28"/>
        </w:rPr>
      </w:pPr>
      <w:r w:rsidRPr="00DD7DB8">
        <w:rPr>
          <w:rFonts w:asciiTheme="minorHAnsi" w:eastAsia="Calibri" w:hAnsiTheme="minorHAnsi" w:cstheme="minorHAnsi"/>
          <w:b/>
          <w:color w:val="0070C0"/>
          <w:sz w:val="28"/>
          <w:szCs w:val="28"/>
        </w:rPr>
        <w:lastRenderedPageBreak/>
        <w:t>EW 24-hour Customized Living (24-hour CL):</w:t>
      </w:r>
    </w:p>
    <w:p w14:paraId="5477256C" w14:textId="306E9BF6" w:rsidR="005522F9" w:rsidRPr="00BB1DD7" w:rsidRDefault="00CA344B" w:rsidP="005522F9">
      <w:pPr>
        <w:numPr>
          <w:ilvl w:val="0"/>
          <w:numId w:val="39"/>
        </w:numPr>
        <w:shd w:val="clear" w:color="auto" w:fill="FFFFFF"/>
        <w:spacing w:after="120"/>
        <w:rPr>
          <w:rFonts w:eastAsia="Times New Roman" w:cstheme="minorHAnsi"/>
        </w:rPr>
      </w:pPr>
      <w:r w:rsidRPr="00BB1DD7">
        <w:rPr>
          <w:rFonts w:cstheme="minorHAnsi"/>
        </w:rPr>
        <w:t>6.013%</w:t>
      </w:r>
      <w:r w:rsidR="005522F9" w:rsidRPr="00BB1DD7">
        <w:rPr>
          <w:rFonts w:eastAsia="Times New Roman" w:cstheme="minorHAnsi"/>
        </w:rPr>
        <w:t xml:space="preserve"> increase to EW 24-hour customized living daily and monthly limits.</w:t>
      </w:r>
    </w:p>
    <w:p w14:paraId="79E39292" w14:textId="77777777" w:rsidR="005522F9" w:rsidRPr="00BB1DD7" w:rsidRDefault="005522F9" w:rsidP="005522F9">
      <w:pPr>
        <w:numPr>
          <w:ilvl w:val="0"/>
          <w:numId w:val="39"/>
        </w:numPr>
        <w:shd w:val="clear" w:color="auto" w:fill="FFFFFF"/>
        <w:spacing w:after="120"/>
        <w:rPr>
          <w:rFonts w:eastAsia="Times New Roman" w:cstheme="minorHAnsi"/>
        </w:rPr>
      </w:pPr>
      <w:r w:rsidRPr="00BB1DD7">
        <w:rPr>
          <w:rFonts w:eastAsia="Calibri" w:cstheme="minorHAnsi"/>
        </w:rPr>
        <w:t>If a member needs new or additional service components, the Care Coordinator must complete a new RS tool, submit it to DHS, and do the following in Bridgeview:</w:t>
      </w:r>
    </w:p>
    <w:p w14:paraId="2A7AF249" w14:textId="77777777" w:rsidR="005522F9" w:rsidRPr="00BB1DD7" w:rsidRDefault="005522F9" w:rsidP="005522F9">
      <w:pPr>
        <w:numPr>
          <w:ilvl w:val="0"/>
          <w:numId w:val="37"/>
        </w:numPr>
        <w:rPr>
          <w:rFonts w:eastAsia="Calibri" w:cstheme="minorHAnsi"/>
        </w:rPr>
      </w:pPr>
      <w:bookmarkStart w:id="0" w:name="_Hlk26286266"/>
      <w:r w:rsidRPr="00BB1DD7">
        <w:rPr>
          <w:rFonts w:eastAsia="Calibri" w:cstheme="minorHAnsi"/>
        </w:rPr>
        <w:t>End the current CL service agreement on the last day of the month before the service rate limit change.</w:t>
      </w:r>
    </w:p>
    <w:p w14:paraId="49ADAF1D" w14:textId="77777777" w:rsidR="005522F9" w:rsidRPr="00BB1DD7" w:rsidRDefault="005522F9" w:rsidP="005522F9">
      <w:pPr>
        <w:numPr>
          <w:ilvl w:val="0"/>
          <w:numId w:val="37"/>
        </w:numPr>
        <w:spacing w:after="120"/>
        <w:rPr>
          <w:rFonts w:eastAsia="Calibri" w:cstheme="minorHAnsi"/>
        </w:rPr>
      </w:pPr>
      <w:r w:rsidRPr="00BB1DD7">
        <w:rPr>
          <w:rFonts w:eastAsia="Calibri" w:cstheme="minorHAnsi"/>
        </w:rPr>
        <w:t>Create a new CL service agreement starting January 1st that goes through the current span</w:t>
      </w:r>
      <w:bookmarkEnd w:id="0"/>
      <w:r w:rsidRPr="00BB1DD7">
        <w:rPr>
          <w:rFonts w:eastAsia="Calibri" w:cstheme="minorHAnsi"/>
        </w:rPr>
        <w:t xml:space="preserve">. </w:t>
      </w:r>
    </w:p>
    <w:p w14:paraId="2723C826" w14:textId="77777777" w:rsidR="005522F9" w:rsidRPr="00DD7DB8" w:rsidRDefault="005522F9" w:rsidP="005522F9">
      <w:pPr>
        <w:pStyle w:val="Heading1"/>
        <w:rPr>
          <w:rFonts w:asciiTheme="minorHAnsi" w:eastAsia="Calibri" w:hAnsiTheme="minorHAnsi" w:cstheme="minorHAnsi"/>
          <w:b/>
          <w:color w:val="0070C0"/>
          <w:sz w:val="28"/>
          <w:szCs w:val="28"/>
        </w:rPr>
      </w:pPr>
      <w:r w:rsidRPr="00DD7DB8">
        <w:rPr>
          <w:rFonts w:asciiTheme="minorHAnsi" w:eastAsia="Calibri" w:hAnsiTheme="minorHAnsi" w:cstheme="minorHAnsi"/>
          <w:b/>
          <w:color w:val="0070C0"/>
          <w:sz w:val="28"/>
          <w:szCs w:val="28"/>
        </w:rPr>
        <w:t>EW Case Mix Cap Increase:</w:t>
      </w:r>
    </w:p>
    <w:p w14:paraId="22C220C4" w14:textId="77777777" w:rsidR="005522F9" w:rsidRPr="00BB1DD7" w:rsidRDefault="005522F9" w:rsidP="005522F9">
      <w:pPr>
        <w:numPr>
          <w:ilvl w:val="0"/>
          <w:numId w:val="38"/>
        </w:numPr>
        <w:rPr>
          <w:rFonts w:eastAsia="Calibri" w:cstheme="minorHAnsi"/>
        </w:rPr>
      </w:pPr>
      <w:r w:rsidRPr="00BB1DD7">
        <w:rPr>
          <w:rFonts w:eastAsia="Calibri" w:cstheme="minorHAnsi"/>
        </w:rPr>
        <w:t xml:space="preserve">Care Coordinators may choose to add or increase services prior to reassessment, if doing so will better support </w:t>
      </w:r>
      <w:r w:rsidRPr="00BB1DD7" w:rsidDel="005C4592">
        <w:rPr>
          <w:rFonts w:eastAsia="Calibri" w:cstheme="minorHAnsi"/>
        </w:rPr>
        <w:t>member</w:t>
      </w:r>
      <w:r w:rsidRPr="00BB1DD7">
        <w:rPr>
          <w:rFonts w:eastAsia="Calibri" w:cstheme="minorHAnsi"/>
        </w:rPr>
        <w:t xml:space="preserve">(s) remaining in the community based on assessed needs. </w:t>
      </w:r>
    </w:p>
    <w:p w14:paraId="0C6FB335" w14:textId="4E6AA009" w:rsidR="005522F9" w:rsidRPr="00BB1DD7" w:rsidRDefault="005522F9" w:rsidP="005522F9">
      <w:pPr>
        <w:numPr>
          <w:ilvl w:val="0"/>
          <w:numId w:val="38"/>
        </w:numPr>
        <w:rPr>
          <w:rFonts w:eastAsia="Calibri" w:cstheme="minorHAnsi"/>
        </w:rPr>
      </w:pPr>
      <w:r w:rsidRPr="00BB1DD7">
        <w:rPr>
          <w:rFonts w:eastAsia="Calibri" w:cstheme="minorHAnsi"/>
        </w:rPr>
        <w:t>Th</w:t>
      </w:r>
      <w:r w:rsidR="00E804BF" w:rsidRPr="00BB1DD7">
        <w:rPr>
          <w:rFonts w:eastAsia="Calibri" w:cstheme="minorHAnsi"/>
        </w:rPr>
        <w:t>e LTCC &amp; Case Mix “Case Limit” will continue to display the 2025</w:t>
      </w:r>
      <w:r w:rsidRPr="00BB1DD7">
        <w:rPr>
          <w:rFonts w:eastAsia="Calibri" w:cstheme="minorHAnsi"/>
        </w:rPr>
        <w:t xml:space="preserve"> </w:t>
      </w:r>
      <w:r w:rsidRPr="00BB1DD7" w:rsidDel="005C4592">
        <w:rPr>
          <w:rFonts w:eastAsia="Calibri" w:cstheme="minorHAnsi"/>
        </w:rPr>
        <w:t>budget cap</w:t>
      </w:r>
      <w:r w:rsidR="00E804BF" w:rsidRPr="00BB1DD7">
        <w:rPr>
          <w:rFonts w:eastAsia="Calibri" w:cstheme="minorHAnsi"/>
        </w:rPr>
        <w:t xml:space="preserve">. To view the increased 2026 monthly budget cap, click on the “Case Limit” amount field and each month starting in </w:t>
      </w:r>
      <w:r w:rsidR="00E804BF" w:rsidRPr="00BB1DD7">
        <w:rPr>
          <w:rFonts w:eastAsia="Calibri" w:cstheme="minorHAnsi"/>
          <w:b/>
          <w:bCs/>
        </w:rPr>
        <w:t>Jan 26</w:t>
      </w:r>
      <w:r w:rsidR="00E804BF" w:rsidRPr="00BB1DD7">
        <w:rPr>
          <w:rFonts w:eastAsia="Calibri" w:cstheme="minorHAnsi"/>
        </w:rPr>
        <w:t xml:space="preserve"> through the end of the waiver span will reflect the 2026 monthly cap increase.</w:t>
      </w:r>
      <w:r w:rsidRPr="00BB1DD7">
        <w:rPr>
          <w:rFonts w:eastAsia="Calibri" w:cstheme="minorHAnsi"/>
        </w:rPr>
        <w:t xml:space="preserve"> </w:t>
      </w:r>
    </w:p>
    <w:p w14:paraId="343AADFB" w14:textId="2BDFFF13" w:rsidR="005522F9" w:rsidRPr="00E941F9" w:rsidRDefault="00975CAC" w:rsidP="00E941F9">
      <w:pPr>
        <w:spacing w:line="240" w:lineRule="auto"/>
        <w:ind w:left="720"/>
        <w:rPr>
          <w:rFonts w:ascii="Times New Roman" w:eastAsia="Times New Roman" w:hAnsi="Times New Roman" w:cs="Times New Roman"/>
          <w:sz w:val="24"/>
          <w:szCs w:val="24"/>
        </w:rPr>
      </w:pPr>
      <w:r w:rsidRPr="00975CAC">
        <w:rPr>
          <w:noProof/>
        </w:rPr>
        <w:drawing>
          <wp:inline distT="0" distB="0" distL="0" distR="0" wp14:anchorId="077607F5" wp14:editId="2E288D1B">
            <wp:extent cx="5947755" cy="775411"/>
            <wp:effectExtent l="0" t="0" r="0" b="5715"/>
            <wp:docPr id="116671442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14421" name="Picture 1" descr="A screenshot of a compu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9169" cy="779506"/>
                    </a:xfrm>
                    <a:prstGeom prst="rect">
                      <a:avLst/>
                    </a:prstGeom>
                    <a:noFill/>
                    <a:ln>
                      <a:noFill/>
                    </a:ln>
                  </pic:spPr>
                </pic:pic>
              </a:graphicData>
            </a:graphic>
          </wp:inline>
        </w:drawing>
      </w:r>
    </w:p>
    <w:p w14:paraId="4A3132BA" w14:textId="32925986" w:rsidR="005522F9" w:rsidRPr="00DD7DB8" w:rsidRDefault="00E941F9" w:rsidP="00E941F9">
      <w:pPr>
        <w:jc w:val="center"/>
        <w:rPr>
          <w:rFonts w:eastAsia="Calibri" w:cstheme="minorHAnsi"/>
          <w:sz w:val="24"/>
          <w:szCs w:val="24"/>
        </w:rPr>
      </w:pPr>
      <w:r w:rsidRPr="00E941F9">
        <w:rPr>
          <w:rFonts w:eastAsia="Calibri" w:cstheme="minorHAnsi"/>
          <w:noProof/>
          <w:sz w:val="24"/>
          <w:szCs w:val="24"/>
        </w:rPr>
        <w:drawing>
          <wp:inline distT="0" distB="0" distL="0" distR="0" wp14:anchorId="6616D408" wp14:editId="589E6EB4">
            <wp:extent cx="5193792" cy="1050300"/>
            <wp:effectExtent l="0" t="0" r="6985" b="0"/>
            <wp:docPr id="2257301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30186" name="Picture 1" descr="A screenshot of a computer&#10;&#10;AI-generated content may be incorrect."/>
                    <pic:cNvPicPr/>
                  </pic:nvPicPr>
                  <pic:blipFill>
                    <a:blip r:embed="rId14"/>
                    <a:stretch>
                      <a:fillRect/>
                    </a:stretch>
                  </pic:blipFill>
                  <pic:spPr>
                    <a:xfrm>
                      <a:off x="0" y="0"/>
                      <a:ext cx="5210697" cy="1053719"/>
                    </a:xfrm>
                    <a:prstGeom prst="rect">
                      <a:avLst/>
                    </a:prstGeom>
                  </pic:spPr>
                </pic:pic>
              </a:graphicData>
            </a:graphic>
          </wp:inline>
        </w:drawing>
      </w:r>
    </w:p>
    <w:p w14:paraId="5C73DA6B" w14:textId="77777777" w:rsidR="005522F9" w:rsidRPr="00DD7DB8" w:rsidRDefault="005522F9" w:rsidP="005522F9">
      <w:pPr>
        <w:jc w:val="center"/>
        <w:rPr>
          <w:rFonts w:eastAsia="Calibri" w:cstheme="minorHAnsi"/>
          <w:sz w:val="24"/>
          <w:szCs w:val="24"/>
        </w:rPr>
      </w:pPr>
    </w:p>
    <w:p w14:paraId="638F1455" w14:textId="7AE3CBA6" w:rsidR="005522F9" w:rsidRPr="00BB1DD7" w:rsidRDefault="005522F9" w:rsidP="005522F9">
      <w:pPr>
        <w:numPr>
          <w:ilvl w:val="0"/>
          <w:numId w:val="38"/>
        </w:numPr>
        <w:rPr>
          <w:rFonts w:eastAsia="Calibri" w:cstheme="minorHAnsi"/>
        </w:rPr>
      </w:pPr>
      <w:r w:rsidRPr="00BB1DD7">
        <w:rPr>
          <w:rFonts w:eastAsia="Calibri" w:cstheme="minorHAnsi"/>
        </w:rPr>
        <w:t>Care Coordinators, who have members with an approved Request to Exceed Case Mix Cap, must review Bridgeview to determine if services will now fit under the 202</w:t>
      </w:r>
      <w:r w:rsidR="00E804BF" w:rsidRPr="00BB1DD7">
        <w:rPr>
          <w:rFonts w:eastAsia="Calibri" w:cstheme="minorHAnsi"/>
        </w:rPr>
        <w:t>6</w:t>
      </w:r>
      <w:r w:rsidRPr="00BB1DD7">
        <w:rPr>
          <w:rFonts w:eastAsia="Calibri" w:cstheme="minorHAnsi"/>
        </w:rPr>
        <w:t xml:space="preserve"> case mix cap. </w:t>
      </w:r>
    </w:p>
    <w:p w14:paraId="030BFC71" w14:textId="77777777" w:rsidR="005522F9" w:rsidRPr="00BB1DD7" w:rsidRDefault="005522F9" w:rsidP="005522F9">
      <w:pPr>
        <w:numPr>
          <w:ilvl w:val="1"/>
          <w:numId w:val="38"/>
        </w:numPr>
        <w:spacing w:after="120"/>
        <w:rPr>
          <w:rFonts w:eastAsia="Calibri" w:cstheme="minorHAnsi"/>
        </w:rPr>
      </w:pPr>
      <w:r w:rsidRPr="00BB1DD7">
        <w:rPr>
          <w:rFonts w:eastAsia="Calibri" w:cstheme="minorHAnsi"/>
          <w:b/>
        </w:rPr>
        <w:t>If services will fit,</w:t>
      </w:r>
      <w:r w:rsidRPr="00BB1DD7">
        <w:rPr>
          <w:rFonts w:eastAsia="Calibri" w:cstheme="minorHAnsi"/>
        </w:rPr>
        <w:t xml:space="preserve"> notify Blue Plus by emailing </w:t>
      </w:r>
      <w:hyperlink r:id="rId15" w:history="1">
        <w:r w:rsidRPr="00BB1DD7">
          <w:rPr>
            <w:rStyle w:val="Hyperlink"/>
            <w:rFonts w:eastAsia="Calibri" w:cstheme="minorHAnsi"/>
            <w:color w:val="4472C4" w:themeColor="accent1"/>
          </w:rPr>
          <w:t>Partner.Relations@bluecrossmn.com</w:t>
        </w:r>
      </w:hyperlink>
      <w:r w:rsidRPr="00BB1DD7">
        <w:rPr>
          <w:rStyle w:val="Hyperlink"/>
          <w:rFonts w:eastAsia="Calibri" w:cstheme="minorHAnsi"/>
          <w:color w:val="auto"/>
          <w:u w:val="none"/>
        </w:rPr>
        <w:t xml:space="preserve"> and r</w:t>
      </w:r>
      <w:r w:rsidRPr="00BB1DD7">
        <w:rPr>
          <w:rFonts w:eastAsia="Calibri" w:cstheme="minorHAnsi"/>
        </w:rPr>
        <w:t>equest that Bridgeview be u</w:t>
      </w:r>
      <w:r w:rsidRPr="00BB1DD7">
        <w:rPr>
          <w:rFonts w:cstheme="minorHAnsi"/>
        </w:rPr>
        <w:t>pdated</w:t>
      </w:r>
      <w:r w:rsidRPr="00BB1DD7">
        <w:rPr>
          <w:rFonts w:eastAsia="Calibri" w:cstheme="minorHAnsi"/>
        </w:rPr>
        <w:t xml:space="preserve">.  </w:t>
      </w:r>
    </w:p>
    <w:p w14:paraId="7BE76C53" w14:textId="12BA2F55" w:rsidR="009B7F36" w:rsidRPr="00BB1DD7" w:rsidRDefault="005522F9" w:rsidP="009B7F36">
      <w:pPr>
        <w:numPr>
          <w:ilvl w:val="2"/>
          <w:numId w:val="38"/>
        </w:numPr>
        <w:spacing w:after="120"/>
        <w:rPr>
          <w:rFonts w:eastAsia="Calibri" w:cstheme="minorHAnsi"/>
        </w:rPr>
      </w:pPr>
      <w:r w:rsidRPr="00BB1DD7">
        <w:rPr>
          <w:rFonts w:eastAsia="Calibri" w:cstheme="minorHAnsi"/>
        </w:rPr>
        <w:t>Partner Relations will then work with the Bridgeview t</w:t>
      </w:r>
      <w:r w:rsidRPr="00BB1DD7">
        <w:rPr>
          <w:rFonts w:cstheme="minorHAnsi"/>
        </w:rPr>
        <w:t xml:space="preserve">eam to </w:t>
      </w:r>
      <w:r w:rsidRPr="00BB1DD7">
        <w:rPr>
          <w:rFonts w:eastAsia="Calibri" w:cstheme="minorHAnsi"/>
        </w:rPr>
        <w:t>correct the member’s LTCC/Case Mix.</w:t>
      </w:r>
    </w:p>
    <w:p w14:paraId="33DDBBDF" w14:textId="612DDAA2" w:rsidR="009B7F36" w:rsidRPr="009B7F36" w:rsidRDefault="009B7F36" w:rsidP="009B7F36">
      <w:pPr>
        <w:tabs>
          <w:tab w:val="left" w:pos="5085"/>
        </w:tabs>
        <w:rPr>
          <w:sz w:val="40"/>
          <w:szCs w:val="40"/>
        </w:rPr>
      </w:pPr>
    </w:p>
    <w:sectPr w:rsidR="009B7F36" w:rsidRPr="009B7F36" w:rsidSect="00EF1BF9">
      <w:headerReference w:type="default" r:id="rId16"/>
      <w:footerReference w:type="default" r:id="rId17"/>
      <w:pgSz w:w="12240" w:h="15840"/>
      <w:pgMar w:top="720" w:right="720" w:bottom="72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7437" w14:textId="77777777" w:rsidR="0061294C" w:rsidRDefault="0061294C" w:rsidP="00BB1FFD">
      <w:pPr>
        <w:spacing w:after="0" w:line="240" w:lineRule="auto"/>
      </w:pPr>
      <w:r>
        <w:separator/>
      </w:r>
    </w:p>
  </w:endnote>
  <w:endnote w:type="continuationSeparator" w:id="0">
    <w:p w14:paraId="54FAA33C" w14:textId="77777777" w:rsidR="0061294C" w:rsidRDefault="0061294C" w:rsidP="00BB1FFD">
      <w:pPr>
        <w:spacing w:after="0" w:line="240" w:lineRule="auto"/>
      </w:pPr>
      <w:r>
        <w:continuationSeparator/>
      </w:r>
    </w:p>
  </w:endnote>
  <w:endnote w:type="continuationNotice" w:id="1">
    <w:p w14:paraId="0FC918C5" w14:textId="77777777" w:rsidR="0061294C" w:rsidRDefault="00612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045F47DD" w:rsidR="0086469F" w:rsidRPr="0056608B" w:rsidRDefault="0086469F">
    <w:pPr>
      <w:pStyle w:val="Footer"/>
      <w:rPr>
        <w:i/>
        <w:iCs/>
        <w:sz w:val="20"/>
        <w:szCs w:val="20"/>
      </w:rPr>
    </w:pPr>
    <w:r w:rsidRPr="0056608B">
      <w:rPr>
        <w:i/>
        <w:iCs/>
        <w:sz w:val="20"/>
        <w:szCs w:val="20"/>
      </w:rPr>
      <w:t>Co</w:t>
    </w:r>
    <w:r w:rsidR="009B7F36" w:rsidRPr="0056608B">
      <w:rPr>
        <w:i/>
        <w:iCs/>
        <w:sz w:val="20"/>
        <w:szCs w:val="20"/>
      </w:rPr>
      <w:t>m</w:t>
    </w:r>
    <w:r w:rsidR="0056608B" w:rsidRPr="0056608B">
      <w:rPr>
        <w:i/>
        <w:iCs/>
        <w:sz w:val="20"/>
        <w:szCs w:val="20"/>
      </w:rPr>
      <w:t xml:space="preserve">munications </w:t>
    </w:r>
    <w:r w:rsidR="009B7F36" w:rsidRPr="0056608B">
      <w:rPr>
        <w:i/>
        <w:iCs/>
        <w:sz w:val="20"/>
        <w:szCs w:val="20"/>
      </w:rPr>
      <w:t>are</w:t>
    </w:r>
    <w:r w:rsidRPr="0056608B">
      <w:rPr>
        <w:i/>
        <w:iCs/>
        <w:sz w:val="20"/>
        <w:szCs w:val="20"/>
      </w:rPr>
      <w:t xml:space="preserve"> </w:t>
    </w:r>
    <w:r w:rsidR="0056608B" w:rsidRPr="0056608B">
      <w:rPr>
        <w:i/>
        <w:iCs/>
        <w:color w:val="000000" w:themeColor="text1"/>
        <w:sz w:val="20"/>
        <w:szCs w:val="20"/>
      </w:rPr>
      <w:t>quick notifications sent via email to share information such as training opportunities, Bridgeview web issues, service area specific pilots and/or initiatives. Communications are not posted on the Care Coordination website.</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A7E0" w14:textId="77777777" w:rsidR="0061294C" w:rsidRDefault="0061294C" w:rsidP="00BB1FFD">
      <w:pPr>
        <w:spacing w:after="0" w:line="240" w:lineRule="auto"/>
      </w:pPr>
      <w:r>
        <w:separator/>
      </w:r>
    </w:p>
  </w:footnote>
  <w:footnote w:type="continuationSeparator" w:id="0">
    <w:p w14:paraId="20D13A16" w14:textId="77777777" w:rsidR="0061294C" w:rsidRDefault="0061294C" w:rsidP="00BB1FFD">
      <w:pPr>
        <w:spacing w:after="0" w:line="240" w:lineRule="auto"/>
      </w:pPr>
      <w:r>
        <w:continuationSeparator/>
      </w:r>
    </w:p>
  </w:footnote>
  <w:footnote w:type="continuationNotice" w:id="1">
    <w:p w14:paraId="549B7AD7" w14:textId="77777777" w:rsidR="0061294C" w:rsidRDefault="006129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615F170D" w:rsidR="00AF1D04" w:rsidRDefault="00B124E0">
    <w:pPr>
      <w:pStyle w:val="Header"/>
    </w:pPr>
    <w:r>
      <w:rPr>
        <w:noProof/>
      </w:rPr>
      <mc:AlternateContent>
        <mc:Choice Requires="wps">
          <w:drawing>
            <wp:anchor distT="45720" distB="45720" distL="114300" distR="114300" simplePos="0" relativeHeight="251658241" behindDoc="0" locked="0" layoutInCell="1" allowOverlap="1" wp14:anchorId="27358D35" wp14:editId="10D461E1">
              <wp:simplePos x="0" y="0"/>
              <wp:positionH relativeFrom="margin">
                <wp:posOffset>329952</wp:posOffset>
              </wp:positionH>
              <wp:positionV relativeFrom="paragraph">
                <wp:posOffset>-692150</wp:posOffset>
              </wp:positionV>
              <wp:extent cx="414210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914400"/>
                      </a:xfrm>
                      <a:prstGeom prst="rect">
                        <a:avLst/>
                      </a:prstGeom>
                      <a:noFill/>
                      <a:ln w="9525">
                        <a:noFill/>
                        <a:miter lim="800000"/>
                        <a:headEnd/>
                        <a:tailEnd/>
                      </a:ln>
                    </wps:spPr>
                    <wps:txbx>
                      <w:txbxContent>
                        <w:p w14:paraId="4D314A7A" w14:textId="30E6E28D"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DC4B6A">
                            <w:rPr>
                              <w:rFonts w:ascii="Franklin Gothic Book" w:hAnsi="Franklin Gothic Book"/>
                              <w:b/>
                              <w:bCs/>
                              <w:color w:val="FFFFFF" w:themeColor="background1"/>
                              <w:sz w:val="44"/>
                              <w:szCs w:val="44"/>
                            </w:rPr>
                            <w:t>uni</w:t>
                          </w:r>
                          <w:r w:rsidR="00827299">
                            <w:rPr>
                              <w:rFonts w:ascii="Franklin Gothic Book" w:hAnsi="Franklin Gothic Book"/>
                              <w:b/>
                              <w:bCs/>
                              <w:color w:val="FFFFFF" w:themeColor="background1"/>
                              <w:sz w:val="44"/>
                              <w:szCs w:val="44"/>
                            </w:rPr>
                            <w:t>que</w:t>
                          </w:r>
                        </w:p>
                        <w:p w14:paraId="3E533087" w14:textId="487C9BB0" w:rsidR="00AF1D04" w:rsidRPr="00AF1D04" w:rsidRDefault="005522F9"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12-17-2025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26pt;margin-top:-54.5pt;width:326.1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" filled="f" stroked="f">
              <v:textbox>
                <w:txbxContent>
                  <w:p w14:paraId="4D314A7A" w14:textId="30E6E28D"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DC4B6A">
                      <w:rPr>
                        <w:rFonts w:ascii="Franklin Gothic Book" w:hAnsi="Franklin Gothic Book"/>
                        <w:b/>
                        <w:bCs/>
                        <w:color w:val="FFFFFF" w:themeColor="background1"/>
                        <w:sz w:val="44"/>
                        <w:szCs w:val="44"/>
                      </w:rPr>
                      <w:t>uni</w:t>
                    </w:r>
                    <w:r w:rsidR="00827299">
                      <w:rPr>
                        <w:rFonts w:ascii="Franklin Gothic Book" w:hAnsi="Franklin Gothic Book"/>
                        <w:b/>
                        <w:bCs/>
                        <w:color w:val="FFFFFF" w:themeColor="background1"/>
                        <w:sz w:val="44"/>
                        <w:szCs w:val="44"/>
                      </w:rPr>
                      <w:t>que</w:t>
                    </w:r>
                  </w:p>
                  <w:p w14:paraId="3E533087" w14:textId="487C9BB0" w:rsidR="00AF1D04" w:rsidRPr="00AF1D04" w:rsidRDefault="005522F9"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12-17-2025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DD1E9F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D4750"/>
    <w:multiLevelType w:val="hybridMultilevel"/>
    <w:tmpl w:val="77103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21B06"/>
    <w:multiLevelType w:val="hybridMultilevel"/>
    <w:tmpl w:val="D55A7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33501"/>
    <w:multiLevelType w:val="hybridMultilevel"/>
    <w:tmpl w:val="3C78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507CB"/>
    <w:multiLevelType w:val="hybridMultilevel"/>
    <w:tmpl w:val="7288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170F0"/>
    <w:multiLevelType w:val="multilevel"/>
    <w:tmpl w:val="EAB0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06303"/>
    <w:multiLevelType w:val="hybridMultilevel"/>
    <w:tmpl w:val="6708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A27E9"/>
    <w:multiLevelType w:val="hybridMultilevel"/>
    <w:tmpl w:val="C01C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86550"/>
    <w:multiLevelType w:val="hybridMultilevel"/>
    <w:tmpl w:val="E36A13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13431"/>
    <w:multiLevelType w:val="hybridMultilevel"/>
    <w:tmpl w:val="CCFA2C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77E7C4E"/>
    <w:multiLevelType w:val="hybridMultilevel"/>
    <w:tmpl w:val="24343F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F0981"/>
    <w:multiLevelType w:val="hybridMultilevel"/>
    <w:tmpl w:val="45C0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D38BC"/>
    <w:multiLevelType w:val="hybridMultilevel"/>
    <w:tmpl w:val="653C0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3" w15:restartNumberingAfterBreak="0">
    <w:nsid w:val="653E3841"/>
    <w:multiLevelType w:val="multilevel"/>
    <w:tmpl w:val="53A2DCE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4" w15:restartNumberingAfterBreak="0">
    <w:nsid w:val="66F05A13"/>
    <w:multiLevelType w:val="hybridMultilevel"/>
    <w:tmpl w:val="8B862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31AAD"/>
    <w:multiLevelType w:val="hybridMultilevel"/>
    <w:tmpl w:val="41AC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F1047"/>
    <w:multiLevelType w:val="hybridMultilevel"/>
    <w:tmpl w:val="6ACC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29"/>
  </w:num>
  <w:num w:numId="2" w16cid:durableId="1797331095">
    <w:abstractNumId w:val="19"/>
  </w:num>
  <w:num w:numId="3" w16cid:durableId="214856249">
    <w:abstractNumId w:val="25"/>
  </w:num>
  <w:num w:numId="4" w16cid:durableId="1499616861">
    <w:abstractNumId w:val="32"/>
  </w:num>
  <w:num w:numId="5" w16cid:durableId="2073769093">
    <w:abstractNumId w:val="2"/>
  </w:num>
  <w:num w:numId="6" w16cid:durableId="18362904">
    <w:abstractNumId w:val="40"/>
  </w:num>
  <w:num w:numId="7" w16cid:durableId="495341996">
    <w:abstractNumId w:val="41"/>
  </w:num>
  <w:num w:numId="8" w16cid:durableId="195433800">
    <w:abstractNumId w:val="8"/>
  </w:num>
  <w:num w:numId="9" w16cid:durableId="2131320421">
    <w:abstractNumId w:val="26"/>
  </w:num>
  <w:num w:numId="10" w16cid:durableId="292836173">
    <w:abstractNumId w:val="20"/>
  </w:num>
  <w:num w:numId="11" w16cid:durableId="590047722">
    <w:abstractNumId w:val="15"/>
  </w:num>
  <w:num w:numId="12" w16cid:durableId="1674527007">
    <w:abstractNumId w:val="18"/>
  </w:num>
  <w:num w:numId="13" w16cid:durableId="1073697651">
    <w:abstractNumId w:val="16"/>
  </w:num>
  <w:num w:numId="14" w16cid:durableId="1167403472">
    <w:abstractNumId w:val="30"/>
  </w:num>
  <w:num w:numId="15" w16cid:durableId="1282767395">
    <w:abstractNumId w:val="35"/>
  </w:num>
  <w:num w:numId="16" w16cid:durableId="974333673">
    <w:abstractNumId w:val="22"/>
  </w:num>
  <w:num w:numId="17" w16cid:durableId="364520162">
    <w:abstractNumId w:val="13"/>
  </w:num>
  <w:num w:numId="18" w16cid:durableId="1117332499">
    <w:abstractNumId w:val="17"/>
  </w:num>
  <w:num w:numId="19" w16cid:durableId="2132741991">
    <w:abstractNumId w:val="7"/>
  </w:num>
  <w:num w:numId="20" w16cid:durableId="133525190">
    <w:abstractNumId w:val="37"/>
  </w:num>
  <w:num w:numId="21" w16cid:durableId="2101565973">
    <w:abstractNumId w:val="31"/>
  </w:num>
  <w:num w:numId="22" w16cid:durableId="580287051">
    <w:abstractNumId w:val="27"/>
  </w:num>
  <w:num w:numId="23" w16cid:durableId="1795637695">
    <w:abstractNumId w:val="39"/>
  </w:num>
  <w:num w:numId="24" w16cid:durableId="1165973169">
    <w:abstractNumId w:val="0"/>
  </w:num>
  <w:num w:numId="25" w16cid:durableId="1790397476">
    <w:abstractNumId w:val="28"/>
  </w:num>
  <w:num w:numId="26" w16cid:durableId="765073409">
    <w:abstractNumId w:val="6"/>
  </w:num>
  <w:num w:numId="27" w16cid:durableId="235896657">
    <w:abstractNumId w:val="4"/>
  </w:num>
  <w:num w:numId="28" w16cid:durableId="443774409">
    <w:abstractNumId w:val="36"/>
  </w:num>
  <w:num w:numId="29" w16cid:durableId="688069736">
    <w:abstractNumId w:val="38"/>
  </w:num>
  <w:num w:numId="30" w16cid:durableId="1056663017">
    <w:abstractNumId w:val="34"/>
  </w:num>
  <w:num w:numId="31" w16cid:durableId="443157231">
    <w:abstractNumId w:val="12"/>
  </w:num>
  <w:num w:numId="32" w16cid:durableId="1374574032">
    <w:abstractNumId w:val="24"/>
  </w:num>
  <w:num w:numId="33" w16cid:durableId="784734997">
    <w:abstractNumId w:val="10"/>
  </w:num>
  <w:num w:numId="34" w16cid:durableId="1065682304">
    <w:abstractNumId w:val="11"/>
  </w:num>
  <w:num w:numId="35" w16cid:durableId="1958834433">
    <w:abstractNumId w:val="5"/>
  </w:num>
  <w:num w:numId="36" w16cid:durableId="518280933">
    <w:abstractNumId w:val="23"/>
  </w:num>
  <w:num w:numId="37" w16cid:durableId="1713265744">
    <w:abstractNumId w:val="21"/>
  </w:num>
  <w:num w:numId="38" w16cid:durableId="990715958">
    <w:abstractNumId w:val="14"/>
  </w:num>
  <w:num w:numId="39" w16cid:durableId="731196434">
    <w:abstractNumId w:val="9"/>
  </w:num>
  <w:num w:numId="40" w16cid:durableId="26225149">
    <w:abstractNumId w:val="3"/>
  </w:num>
  <w:num w:numId="41" w16cid:durableId="141434838">
    <w:abstractNumId w:val="1"/>
  </w:num>
  <w:num w:numId="42" w16cid:durableId="7770244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426AA"/>
    <w:rsid w:val="000441F2"/>
    <w:rsid w:val="0005009B"/>
    <w:rsid w:val="00064372"/>
    <w:rsid w:val="000673E7"/>
    <w:rsid w:val="0008165E"/>
    <w:rsid w:val="00095CEA"/>
    <w:rsid w:val="000A5D07"/>
    <w:rsid w:val="000B3E7D"/>
    <w:rsid w:val="000C2585"/>
    <w:rsid w:val="000C2E61"/>
    <w:rsid w:val="000C7F0F"/>
    <w:rsid w:val="000D17AF"/>
    <w:rsid w:val="000D26FC"/>
    <w:rsid w:val="000F0C07"/>
    <w:rsid w:val="00100733"/>
    <w:rsid w:val="00101EAA"/>
    <w:rsid w:val="001377AB"/>
    <w:rsid w:val="00146993"/>
    <w:rsid w:val="00150443"/>
    <w:rsid w:val="00156EEA"/>
    <w:rsid w:val="00163839"/>
    <w:rsid w:val="00174F3D"/>
    <w:rsid w:val="001759D1"/>
    <w:rsid w:val="0017655A"/>
    <w:rsid w:val="00177274"/>
    <w:rsid w:val="0018650C"/>
    <w:rsid w:val="001A1754"/>
    <w:rsid w:val="001A477F"/>
    <w:rsid w:val="001D2782"/>
    <w:rsid w:val="001E1085"/>
    <w:rsid w:val="001F16DF"/>
    <w:rsid w:val="001F79CB"/>
    <w:rsid w:val="001F7B3B"/>
    <w:rsid w:val="002029D2"/>
    <w:rsid w:val="00207605"/>
    <w:rsid w:val="002143B9"/>
    <w:rsid w:val="00222CB4"/>
    <w:rsid w:val="00224BCD"/>
    <w:rsid w:val="00226B8A"/>
    <w:rsid w:val="00231612"/>
    <w:rsid w:val="00237980"/>
    <w:rsid w:val="00241FDA"/>
    <w:rsid w:val="00266777"/>
    <w:rsid w:val="00275CDB"/>
    <w:rsid w:val="0028428E"/>
    <w:rsid w:val="00287C94"/>
    <w:rsid w:val="00297D50"/>
    <w:rsid w:val="002B36E2"/>
    <w:rsid w:val="002D7C3C"/>
    <w:rsid w:val="002E02C0"/>
    <w:rsid w:val="002E040A"/>
    <w:rsid w:val="002E2112"/>
    <w:rsid w:val="002E4287"/>
    <w:rsid w:val="002E7252"/>
    <w:rsid w:val="002F264B"/>
    <w:rsid w:val="002F63D4"/>
    <w:rsid w:val="002F7324"/>
    <w:rsid w:val="00321340"/>
    <w:rsid w:val="00323095"/>
    <w:rsid w:val="0038620C"/>
    <w:rsid w:val="003901BE"/>
    <w:rsid w:val="003A12B5"/>
    <w:rsid w:val="003B5970"/>
    <w:rsid w:val="003C1F8E"/>
    <w:rsid w:val="003D042A"/>
    <w:rsid w:val="003E13DE"/>
    <w:rsid w:val="003E6579"/>
    <w:rsid w:val="003F29D6"/>
    <w:rsid w:val="003F6B90"/>
    <w:rsid w:val="00401A72"/>
    <w:rsid w:val="004334D0"/>
    <w:rsid w:val="0044731C"/>
    <w:rsid w:val="0047758D"/>
    <w:rsid w:val="00490FCE"/>
    <w:rsid w:val="004A28D0"/>
    <w:rsid w:val="004D30F0"/>
    <w:rsid w:val="004F1E33"/>
    <w:rsid w:val="00500D27"/>
    <w:rsid w:val="0051093B"/>
    <w:rsid w:val="00510F80"/>
    <w:rsid w:val="00511FD0"/>
    <w:rsid w:val="005201CF"/>
    <w:rsid w:val="005216A1"/>
    <w:rsid w:val="0053159F"/>
    <w:rsid w:val="00533C9C"/>
    <w:rsid w:val="00533E6F"/>
    <w:rsid w:val="00540B8C"/>
    <w:rsid w:val="005413CA"/>
    <w:rsid w:val="005522F9"/>
    <w:rsid w:val="0056608B"/>
    <w:rsid w:val="00587B08"/>
    <w:rsid w:val="005B0C97"/>
    <w:rsid w:val="005B2303"/>
    <w:rsid w:val="005B2F63"/>
    <w:rsid w:val="005C4385"/>
    <w:rsid w:val="005C7FFC"/>
    <w:rsid w:val="005D6BC6"/>
    <w:rsid w:val="005E07CD"/>
    <w:rsid w:val="00605891"/>
    <w:rsid w:val="0061294C"/>
    <w:rsid w:val="00623BBA"/>
    <w:rsid w:val="00640092"/>
    <w:rsid w:val="00645D13"/>
    <w:rsid w:val="006467E2"/>
    <w:rsid w:val="00646AC2"/>
    <w:rsid w:val="006579A0"/>
    <w:rsid w:val="00661EAF"/>
    <w:rsid w:val="00662F2A"/>
    <w:rsid w:val="00667838"/>
    <w:rsid w:val="00670A56"/>
    <w:rsid w:val="00683296"/>
    <w:rsid w:val="00684C03"/>
    <w:rsid w:val="00686352"/>
    <w:rsid w:val="0069006A"/>
    <w:rsid w:val="00690495"/>
    <w:rsid w:val="00696BE2"/>
    <w:rsid w:val="006B0BA7"/>
    <w:rsid w:val="006B5D91"/>
    <w:rsid w:val="006B65FB"/>
    <w:rsid w:val="006E6429"/>
    <w:rsid w:val="006F264F"/>
    <w:rsid w:val="00716C29"/>
    <w:rsid w:val="00720E1E"/>
    <w:rsid w:val="00722865"/>
    <w:rsid w:val="007260E4"/>
    <w:rsid w:val="00736979"/>
    <w:rsid w:val="00737264"/>
    <w:rsid w:val="0073769D"/>
    <w:rsid w:val="00741E61"/>
    <w:rsid w:val="00763D00"/>
    <w:rsid w:val="00764D69"/>
    <w:rsid w:val="00765391"/>
    <w:rsid w:val="007808B0"/>
    <w:rsid w:val="007952B1"/>
    <w:rsid w:val="007979EC"/>
    <w:rsid w:val="007A040D"/>
    <w:rsid w:val="007A5E90"/>
    <w:rsid w:val="007A5F11"/>
    <w:rsid w:val="007D561F"/>
    <w:rsid w:val="007E404D"/>
    <w:rsid w:val="007E4567"/>
    <w:rsid w:val="007F0AE7"/>
    <w:rsid w:val="007F27A6"/>
    <w:rsid w:val="0080562D"/>
    <w:rsid w:val="00827255"/>
    <w:rsid w:val="00827299"/>
    <w:rsid w:val="0083548D"/>
    <w:rsid w:val="00857F8D"/>
    <w:rsid w:val="0086469F"/>
    <w:rsid w:val="00871F80"/>
    <w:rsid w:val="0087399E"/>
    <w:rsid w:val="00885E21"/>
    <w:rsid w:val="00887099"/>
    <w:rsid w:val="008877C2"/>
    <w:rsid w:val="008C06C7"/>
    <w:rsid w:val="008C610E"/>
    <w:rsid w:val="008E3F08"/>
    <w:rsid w:val="008E6751"/>
    <w:rsid w:val="008F5F4B"/>
    <w:rsid w:val="00902422"/>
    <w:rsid w:val="0093070C"/>
    <w:rsid w:val="00932CA6"/>
    <w:rsid w:val="0094725B"/>
    <w:rsid w:val="00951E83"/>
    <w:rsid w:val="00954AF8"/>
    <w:rsid w:val="00963586"/>
    <w:rsid w:val="00963F3F"/>
    <w:rsid w:val="00964FC8"/>
    <w:rsid w:val="00975CAC"/>
    <w:rsid w:val="00981E73"/>
    <w:rsid w:val="009869A9"/>
    <w:rsid w:val="00986E5D"/>
    <w:rsid w:val="009976A2"/>
    <w:rsid w:val="009A68EC"/>
    <w:rsid w:val="009B1374"/>
    <w:rsid w:val="009B2F51"/>
    <w:rsid w:val="009B7F36"/>
    <w:rsid w:val="009F4B70"/>
    <w:rsid w:val="009F5394"/>
    <w:rsid w:val="00A05FD1"/>
    <w:rsid w:val="00A1065A"/>
    <w:rsid w:val="00A16F35"/>
    <w:rsid w:val="00A24223"/>
    <w:rsid w:val="00A30977"/>
    <w:rsid w:val="00A43DD3"/>
    <w:rsid w:val="00A5044E"/>
    <w:rsid w:val="00A51367"/>
    <w:rsid w:val="00A57A8F"/>
    <w:rsid w:val="00A7017F"/>
    <w:rsid w:val="00A71770"/>
    <w:rsid w:val="00A771B2"/>
    <w:rsid w:val="00A9292A"/>
    <w:rsid w:val="00AA1C20"/>
    <w:rsid w:val="00AA2440"/>
    <w:rsid w:val="00AB049B"/>
    <w:rsid w:val="00AB2016"/>
    <w:rsid w:val="00AB5F1C"/>
    <w:rsid w:val="00AC4739"/>
    <w:rsid w:val="00AD5757"/>
    <w:rsid w:val="00AE5599"/>
    <w:rsid w:val="00AF1D04"/>
    <w:rsid w:val="00B124E0"/>
    <w:rsid w:val="00B257C8"/>
    <w:rsid w:val="00B33AEF"/>
    <w:rsid w:val="00B37F51"/>
    <w:rsid w:val="00B52F75"/>
    <w:rsid w:val="00B60565"/>
    <w:rsid w:val="00B63110"/>
    <w:rsid w:val="00B81F54"/>
    <w:rsid w:val="00BA0207"/>
    <w:rsid w:val="00BB1DD7"/>
    <w:rsid w:val="00BB1FFD"/>
    <w:rsid w:val="00BB4F07"/>
    <w:rsid w:val="00BD6DF2"/>
    <w:rsid w:val="00C03345"/>
    <w:rsid w:val="00C07123"/>
    <w:rsid w:val="00C20357"/>
    <w:rsid w:val="00C21688"/>
    <w:rsid w:val="00C30B6E"/>
    <w:rsid w:val="00C40A7E"/>
    <w:rsid w:val="00C40B16"/>
    <w:rsid w:val="00C41AB5"/>
    <w:rsid w:val="00C44797"/>
    <w:rsid w:val="00C44CEA"/>
    <w:rsid w:val="00C509B3"/>
    <w:rsid w:val="00C51B7A"/>
    <w:rsid w:val="00C54B73"/>
    <w:rsid w:val="00C608E4"/>
    <w:rsid w:val="00C6123D"/>
    <w:rsid w:val="00C844B5"/>
    <w:rsid w:val="00CA04A0"/>
    <w:rsid w:val="00CA1E33"/>
    <w:rsid w:val="00CA2381"/>
    <w:rsid w:val="00CA2A1A"/>
    <w:rsid w:val="00CA344B"/>
    <w:rsid w:val="00CC125C"/>
    <w:rsid w:val="00CC2EB9"/>
    <w:rsid w:val="00CC4229"/>
    <w:rsid w:val="00CC5603"/>
    <w:rsid w:val="00CE5DE2"/>
    <w:rsid w:val="00CE63EA"/>
    <w:rsid w:val="00CF49F1"/>
    <w:rsid w:val="00CF6B62"/>
    <w:rsid w:val="00D25895"/>
    <w:rsid w:val="00D3050B"/>
    <w:rsid w:val="00D46A95"/>
    <w:rsid w:val="00D5294C"/>
    <w:rsid w:val="00D553D8"/>
    <w:rsid w:val="00D60A33"/>
    <w:rsid w:val="00D62A09"/>
    <w:rsid w:val="00D62FFC"/>
    <w:rsid w:val="00D66CF4"/>
    <w:rsid w:val="00D96A36"/>
    <w:rsid w:val="00DC4B6A"/>
    <w:rsid w:val="00DD18F5"/>
    <w:rsid w:val="00DE2F89"/>
    <w:rsid w:val="00DE3B63"/>
    <w:rsid w:val="00DF4E3A"/>
    <w:rsid w:val="00E00AB5"/>
    <w:rsid w:val="00E11DD3"/>
    <w:rsid w:val="00E47607"/>
    <w:rsid w:val="00E804BF"/>
    <w:rsid w:val="00E83F7D"/>
    <w:rsid w:val="00E941F9"/>
    <w:rsid w:val="00EC4AA6"/>
    <w:rsid w:val="00EC69E5"/>
    <w:rsid w:val="00EE5C71"/>
    <w:rsid w:val="00EF147D"/>
    <w:rsid w:val="00EF1BF9"/>
    <w:rsid w:val="00F0025F"/>
    <w:rsid w:val="00F04D76"/>
    <w:rsid w:val="00F122CE"/>
    <w:rsid w:val="00F2197B"/>
    <w:rsid w:val="00F2265D"/>
    <w:rsid w:val="00F2549E"/>
    <w:rsid w:val="00F25556"/>
    <w:rsid w:val="00F3164D"/>
    <w:rsid w:val="00F31E94"/>
    <w:rsid w:val="00F32EDB"/>
    <w:rsid w:val="00F36B5F"/>
    <w:rsid w:val="00F408C6"/>
    <w:rsid w:val="00F531F6"/>
    <w:rsid w:val="00F5483A"/>
    <w:rsid w:val="00F5658F"/>
    <w:rsid w:val="00F610EE"/>
    <w:rsid w:val="00F61B6A"/>
    <w:rsid w:val="00F65E65"/>
    <w:rsid w:val="00F77805"/>
    <w:rsid w:val="00F843F6"/>
    <w:rsid w:val="00F93A7E"/>
    <w:rsid w:val="00FA31F9"/>
    <w:rsid w:val="00FA5AF7"/>
    <w:rsid w:val="00FA7110"/>
    <w:rsid w:val="00FC0731"/>
    <w:rsid w:val="00FC07D6"/>
    <w:rsid w:val="00FC5F7D"/>
    <w:rsid w:val="00FD0EB1"/>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 w:type="table" w:styleId="GridTable4-Accent5">
    <w:name w:val="Grid Table 4 Accent 5"/>
    <w:basedOn w:val="TableNormal"/>
    <w:uiPriority w:val="49"/>
    <w:rsid w:val="00F843F6"/>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9904">
      <w:bodyDiv w:val="1"/>
      <w:marLeft w:val="0"/>
      <w:marRight w:val="0"/>
      <w:marTop w:val="0"/>
      <w:marBottom w:val="0"/>
      <w:divBdr>
        <w:top w:val="none" w:sz="0" w:space="0" w:color="auto"/>
        <w:left w:val="none" w:sz="0" w:space="0" w:color="auto"/>
        <w:bottom w:val="none" w:sz="0" w:space="0" w:color="auto"/>
        <w:right w:val="none" w:sz="0" w:space="0" w:color="auto"/>
      </w:divBdr>
    </w:div>
    <w:div w:id="478348087">
      <w:bodyDiv w:val="1"/>
      <w:marLeft w:val="0"/>
      <w:marRight w:val="0"/>
      <w:marTop w:val="0"/>
      <w:marBottom w:val="0"/>
      <w:divBdr>
        <w:top w:val="none" w:sz="0" w:space="0" w:color="auto"/>
        <w:left w:val="none" w:sz="0" w:space="0" w:color="auto"/>
        <w:bottom w:val="none" w:sz="0" w:space="0" w:color="auto"/>
        <w:right w:val="none" w:sz="0" w:space="0" w:color="auto"/>
      </w:divBdr>
    </w:div>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158040645">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idgeview.Service.Agreements@bluecrossm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hs.state.mn.us/main/idcplg?IdcService=GET_DYNAMIC_CONVERSION&amp;RevisionSelectionMethod=LatestReleased&amp;dDocName=MNDHS-073096" TargetMode="External"/><Relationship Id="rId5" Type="http://schemas.openxmlformats.org/officeDocument/2006/relationships/styles" Target="styles.xml"/><Relationship Id="rId15" Type="http://schemas.openxmlformats.org/officeDocument/2006/relationships/hyperlink" Target="mailto:Partner.Relations@bluecrossmn.com" TargetMode="External"/><Relationship Id="rId10" Type="http://schemas.openxmlformats.org/officeDocument/2006/relationships/hyperlink" Target="chrome-extension://efaidnbmnnnibpcajpcglclefindmkaj/https:/edocs.dhs.state.mn.us/lfserver/Public/DHS-3945-E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87099de3adefde497a661a3d48fb1720">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6d83842e1b36adf552b5feae3ced874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BDBFF-10E0-45DB-A88A-FCE54119ECE2}">
  <ds:schemaRefs>
    <ds:schemaRef ds:uri="http://schemas.microsoft.com/office/2006/metadata/properties"/>
    <ds:schemaRef ds:uri="62e5e15c-7478-4584-8e19-4e9362b2611b"/>
    <ds:schemaRef ds:uri="http://schemas.microsoft.com/office/2006/documentManagement/types"/>
    <ds:schemaRef ds:uri="http://schemas.openxmlformats.org/package/2006/metadata/core-properties"/>
    <ds:schemaRef ds:uri="10bab484-3bb4-4afd-a6c1-5e011f67d8b4"/>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3.xml><?xml version="1.0" encoding="utf-8"?>
<ds:datastoreItem xmlns:ds="http://schemas.openxmlformats.org/officeDocument/2006/customXml" ds:itemID="{313DF641-BE23-4A58-B17F-2FC654262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690</Words>
  <Characters>3815</Characters>
  <Application>Microsoft Office Word</Application>
  <DocSecurity>8</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17</cp:revision>
  <cp:lastPrinted>2023-04-13T19:37:00Z</cp:lastPrinted>
  <dcterms:created xsi:type="dcterms:W3CDTF">2025-12-17T13:23:00Z</dcterms:created>
  <dcterms:modified xsi:type="dcterms:W3CDTF">2025-12-17T21:55:00Z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