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ED5B" w14:textId="47906D87" w:rsidR="00552AF9" w:rsidRPr="00BF193F" w:rsidRDefault="00D77A23" w:rsidP="002C6DBB">
      <w:pPr>
        <w:spacing w:before="120" w:after="120"/>
        <w:jc w:val="center"/>
        <w:rPr>
          <w:rStyle w:val="IntenseReference"/>
          <w:rFonts w:asciiTheme="majorHAnsi" w:eastAsiaTheme="majorEastAsia" w:hAnsiTheme="majorHAnsi" w:cstheme="majorBidi"/>
          <w:color w:val="0070C0"/>
          <w:kern w:val="28"/>
          <w:sz w:val="40"/>
          <w:szCs w:val="40"/>
          <w:u w:val="none"/>
        </w:rPr>
      </w:pPr>
      <w:r w:rsidRPr="00BF193F">
        <w:rPr>
          <w:rStyle w:val="IntenseReference"/>
          <w:rFonts w:asciiTheme="majorHAnsi" w:eastAsiaTheme="majorEastAsia" w:hAnsiTheme="majorHAnsi" w:cstheme="majorBidi"/>
          <w:color w:val="0070C0"/>
          <w:kern w:val="28"/>
          <w:sz w:val="40"/>
          <w:szCs w:val="40"/>
          <w:u w:val="none"/>
        </w:rPr>
        <w:t xml:space="preserve">CDCS </w:t>
      </w:r>
      <w:r w:rsidR="009759AB" w:rsidRPr="00BF193F">
        <w:rPr>
          <w:rStyle w:val="IntenseReference"/>
          <w:rFonts w:asciiTheme="majorHAnsi" w:eastAsiaTheme="majorEastAsia" w:hAnsiTheme="majorHAnsi" w:cstheme="majorBidi"/>
          <w:color w:val="0070C0"/>
          <w:kern w:val="28"/>
          <w:sz w:val="40"/>
          <w:szCs w:val="40"/>
          <w:u w:val="none"/>
        </w:rPr>
        <w:t>Legislative rate increase effective 1-1-2026</w:t>
      </w:r>
    </w:p>
    <w:p w14:paraId="73FC4F14" w14:textId="633F71C5" w:rsidR="00533E6F" w:rsidRPr="00BF193F" w:rsidRDefault="00373484" w:rsidP="002C6DBB">
      <w:pPr>
        <w:spacing w:before="120" w:after="120"/>
        <w:jc w:val="center"/>
        <w:rPr>
          <w:rStyle w:val="IntenseReference"/>
          <w:u w:val="none"/>
        </w:rPr>
      </w:pPr>
      <w:r w:rsidRPr="00BF193F">
        <w:rPr>
          <w:rStyle w:val="IntenseReference"/>
          <w:rFonts w:asciiTheme="majorHAnsi" w:eastAsiaTheme="majorEastAsia" w:hAnsiTheme="majorHAnsi" w:cstheme="majorBidi"/>
          <w:color w:val="FF0000"/>
          <w:kern w:val="28"/>
          <w:sz w:val="28"/>
          <w:szCs w:val="28"/>
          <w:u w:val="none"/>
        </w:rPr>
        <w:t>C</w:t>
      </w:r>
      <w:r w:rsidR="00C20CD0" w:rsidRPr="00BF193F">
        <w:rPr>
          <w:rStyle w:val="IntenseReference"/>
          <w:rFonts w:asciiTheme="majorHAnsi" w:eastAsiaTheme="majorEastAsia" w:hAnsiTheme="majorHAnsi" w:cstheme="majorBidi"/>
          <w:color w:val="FF0000"/>
          <w:kern w:val="28"/>
          <w:sz w:val="28"/>
          <w:szCs w:val="28"/>
          <w:u w:val="none"/>
        </w:rPr>
        <w:t>ARE COORDINATOR A</w:t>
      </w:r>
      <w:r w:rsidR="00B91B9F" w:rsidRPr="00BF193F">
        <w:rPr>
          <w:rStyle w:val="IntenseReference"/>
          <w:rFonts w:asciiTheme="majorHAnsi" w:eastAsiaTheme="majorEastAsia" w:hAnsiTheme="majorHAnsi" w:cstheme="majorBidi"/>
          <w:color w:val="FF0000"/>
          <w:kern w:val="28"/>
          <w:sz w:val="28"/>
          <w:szCs w:val="28"/>
          <w:u w:val="none"/>
        </w:rPr>
        <w:t>CTION REQUIRED BY 12</w:t>
      </w:r>
      <w:r w:rsidR="0017569A" w:rsidRPr="00BF193F">
        <w:rPr>
          <w:rStyle w:val="IntenseReference"/>
          <w:rFonts w:asciiTheme="majorHAnsi" w:eastAsiaTheme="majorEastAsia" w:hAnsiTheme="majorHAnsi" w:cstheme="majorBidi"/>
          <w:color w:val="FF0000"/>
          <w:kern w:val="28"/>
          <w:sz w:val="28"/>
          <w:szCs w:val="28"/>
          <w:u w:val="none"/>
        </w:rPr>
        <w:t>/31/2025</w:t>
      </w:r>
    </w:p>
    <w:p w14:paraId="08219A1C" w14:textId="5235F393" w:rsidR="00763606" w:rsidRPr="00191737" w:rsidRDefault="00266348" w:rsidP="009759AB">
      <w:pPr>
        <w:pStyle w:val="Heading5"/>
        <w:spacing w:before="120" w:after="120" w:line="240" w:lineRule="auto"/>
        <w:rPr>
          <w:rFonts w:ascii="Calibri" w:hAnsi="Calibri" w:cs="Calibri"/>
          <w:b/>
          <w:bCs/>
          <w:i w:val="0"/>
          <w:iCs w:val="0"/>
          <w:color w:val="0070C0"/>
          <w:sz w:val="28"/>
          <w:szCs w:val="28"/>
        </w:rPr>
      </w:pPr>
      <w:r w:rsidRPr="00191737">
        <w:rPr>
          <w:rStyle w:val="Heading1Char"/>
          <w:rFonts w:ascii="Calibri" w:hAnsi="Calibri" w:cs="Calibri"/>
          <w:b/>
          <w:bCs/>
          <w:i w:val="0"/>
          <w:iCs w:val="0"/>
          <w:color w:val="0070C0"/>
          <w:sz w:val="28"/>
          <w:szCs w:val="28"/>
        </w:rPr>
        <w:t>C</w:t>
      </w:r>
      <w:r w:rsidR="006443F6" w:rsidRPr="00191737">
        <w:rPr>
          <w:rStyle w:val="Heading1Char"/>
          <w:rFonts w:ascii="Calibri" w:hAnsi="Calibri" w:cs="Calibri"/>
          <w:b/>
          <w:bCs/>
          <w:i w:val="0"/>
          <w:iCs w:val="0"/>
          <w:color w:val="0070C0"/>
          <w:sz w:val="28"/>
          <w:szCs w:val="28"/>
        </w:rPr>
        <w:t xml:space="preserve">DCS </w:t>
      </w:r>
      <w:r w:rsidR="00763606" w:rsidRPr="00191737">
        <w:rPr>
          <w:rStyle w:val="Heading1Char"/>
          <w:rFonts w:ascii="Calibri" w:hAnsi="Calibri" w:cs="Calibri"/>
          <w:b/>
          <w:bCs/>
          <w:i w:val="0"/>
          <w:iCs w:val="0"/>
          <w:color w:val="0070C0"/>
          <w:sz w:val="28"/>
          <w:szCs w:val="28"/>
        </w:rPr>
        <w:t>Budget Adjustments</w:t>
      </w:r>
    </w:p>
    <w:p w14:paraId="0C21E12B" w14:textId="77777777" w:rsidR="00763606" w:rsidRDefault="00763606" w:rsidP="00191737">
      <w:pPr>
        <w:numPr>
          <w:ilvl w:val="0"/>
          <w:numId w:val="1"/>
        </w:numPr>
        <w:tabs>
          <w:tab w:val="clear" w:pos="1800"/>
          <w:tab w:val="num" w:pos="360"/>
        </w:tabs>
        <w:spacing w:before="120" w:after="120" w:line="24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</w:rPr>
        <w:t>Elderly Waiver (EW) Budget Increase</w:t>
      </w:r>
      <w:r>
        <w:rPr>
          <w:rFonts w:eastAsia="Times New Roman"/>
        </w:rPr>
        <w:t xml:space="preserve">: CDCS EW budgets will increase by </w:t>
      </w:r>
      <w:r>
        <w:rPr>
          <w:rFonts w:eastAsia="Times New Roman"/>
          <w:b/>
          <w:bCs/>
        </w:rPr>
        <w:t>6.013%</w:t>
      </w:r>
      <w:r>
        <w:rPr>
          <w:rFonts w:eastAsia="Times New Roman"/>
        </w:rPr>
        <w:t>.</w:t>
      </w:r>
    </w:p>
    <w:p w14:paraId="33FB6C40" w14:textId="77777777" w:rsidR="00CE25A3" w:rsidRDefault="00763606" w:rsidP="00191737">
      <w:pPr>
        <w:numPr>
          <w:ilvl w:val="1"/>
          <w:numId w:val="1"/>
        </w:numPr>
        <w:tabs>
          <w:tab w:val="num" w:pos="1080"/>
        </w:tabs>
        <w:spacing w:before="120" w:after="120" w:line="240" w:lineRule="auto"/>
        <w:ind w:left="1080"/>
        <w:rPr>
          <w:rFonts w:eastAsia="Times New Roman"/>
        </w:rPr>
      </w:pPr>
      <w:r w:rsidRPr="00803F3C">
        <w:rPr>
          <w:rFonts w:eastAsia="Times New Roman"/>
        </w:rPr>
        <w:t xml:space="preserve">Lead agencies </w:t>
      </w:r>
      <w:r w:rsidRPr="00CE25A3">
        <w:rPr>
          <w:rFonts w:eastAsia="Times New Roman"/>
          <w:b/>
          <w:bCs/>
          <w:u w:val="single"/>
        </w:rPr>
        <w:t>must notify</w:t>
      </w:r>
      <w:r w:rsidR="00CE25A3">
        <w:rPr>
          <w:rFonts w:eastAsia="Times New Roman"/>
        </w:rPr>
        <w:t xml:space="preserve"> all</w:t>
      </w:r>
      <w:r w:rsidRPr="00803F3C">
        <w:rPr>
          <w:rFonts w:eastAsia="Times New Roman"/>
        </w:rPr>
        <w:t xml:space="preserve"> members </w:t>
      </w:r>
      <w:r w:rsidR="00CE25A3">
        <w:rPr>
          <w:rFonts w:eastAsia="Times New Roman"/>
        </w:rPr>
        <w:t xml:space="preserve">receiving CDCS services </w:t>
      </w:r>
      <w:r w:rsidRPr="00803F3C">
        <w:rPr>
          <w:rFonts w:eastAsia="Times New Roman"/>
        </w:rPr>
        <w:t xml:space="preserve">of their </w:t>
      </w:r>
      <w:r w:rsidR="004D7503">
        <w:rPr>
          <w:rFonts w:eastAsia="Times New Roman"/>
        </w:rPr>
        <w:t>updated</w:t>
      </w:r>
      <w:r w:rsidRPr="00803F3C">
        <w:rPr>
          <w:rFonts w:eastAsia="Times New Roman"/>
        </w:rPr>
        <w:t xml:space="preserve"> CDCS maximum</w:t>
      </w:r>
      <w:r w:rsidR="005F3759">
        <w:rPr>
          <w:rFonts w:eastAsia="Times New Roman"/>
        </w:rPr>
        <w:t xml:space="preserve"> budget</w:t>
      </w:r>
      <w:r w:rsidRPr="00803F3C">
        <w:rPr>
          <w:rFonts w:eastAsia="Times New Roman"/>
        </w:rPr>
        <w:t>.</w:t>
      </w:r>
    </w:p>
    <w:p w14:paraId="0AC7DC8E" w14:textId="2E6D58FB" w:rsidR="00763606" w:rsidRPr="00803F3C" w:rsidRDefault="00A3193C" w:rsidP="00191737">
      <w:pPr>
        <w:numPr>
          <w:ilvl w:val="1"/>
          <w:numId w:val="1"/>
        </w:numPr>
        <w:tabs>
          <w:tab w:val="num" w:pos="1080"/>
        </w:tabs>
        <w:spacing w:before="120" w:after="120" w:line="240" w:lineRule="auto"/>
        <w:ind w:left="1080"/>
        <w:rPr>
          <w:rFonts w:eastAsia="Times New Roman"/>
        </w:rPr>
      </w:pPr>
      <w:r w:rsidRPr="00803F3C">
        <w:rPr>
          <w:rFonts w:eastAsia="Times New Roman"/>
        </w:rPr>
        <w:t>Refer to</w:t>
      </w:r>
      <w:r w:rsidR="00C23469" w:rsidRPr="00803F3C">
        <w:rPr>
          <w:rFonts w:eastAsia="Times New Roman"/>
        </w:rPr>
        <w:t xml:space="preserve"> </w:t>
      </w:r>
      <w:r w:rsidR="00C23469" w:rsidRPr="00CE25A3">
        <w:rPr>
          <w:rFonts w:eastAsia="Times New Roman"/>
          <w:i/>
          <w:iCs/>
          <w:color w:val="0070C0"/>
        </w:rPr>
        <w:t xml:space="preserve">Care Coordinator </w:t>
      </w:r>
      <w:r w:rsidRPr="00CE25A3">
        <w:rPr>
          <w:rFonts w:eastAsia="Times New Roman"/>
          <w:i/>
          <w:iCs/>
          <w:color w:val="0070C0"/>
        </w:rPr>
        <w:t>Action Items</w:t>
      </w:r>
      <w:r w:rsidR="00B1352E">
        <w:rPr>
          <w:rFonts w:eastAsia="Times New Roman"/>
        </w:rPr>
        <w:t xml:space="preserve">, </w:t>
      </w:r>
      <w:r w:rsidR="00E23055" w:rsidRPr="00CE25A3">
        <w:rPr>
          <w:rFonts w:eastAsia="Times New Roman"/>
          <w:i/>
          <w:iCs/>
          <w:color w:val="0070C0"/>
        </w:rPr>
        <w:t>Member Action Item</w:t>
      </w:r>
      <w:r w:rsidR="00E23055" w:rsidRPr="00CE25A3">
        <w:rPr>
          <w:rFonts w:eastAsia="Times New Roman"/>
          <w:color w:val="0070C0"/>
        </w:rPr>
        <w:t>s</w:t>
      </w:r>
      <w:r w:rsidR="00E23055">
        <w:rPr>
          <w:rFonts w:eastAsia="Times New Roman"/>
        </w:rPr>
        <w:t xml:space="preserve">, and </w:t>
      </w:r>
      <w:r w:rsidRPr="00CE25A3">
        <w:rPr>
          <w:rFonts w:eastAsia="Times New Roman"/>
          <w:i/>
          <w:iCs/>
          <w:color w:val="0070C0"/>
        </w:rPr>
        <w:t>Care Coordination Action Items Upon Receiving Signed Addendum</w:t>
      </w:r>
      <w:r w:rsidRPr="00CE25A3">
        <w:rPr>
          <w:rFonts w:eastAsia="Times New Roman"/>
          <w:color w:val="0070C0"/>
        </w:rPr>
        <w:t xml:space="preserve"> </w:t>
      </w:r>
      <w:r w:rsidR="00CE25A3">
        <w:rPr>
          <w:rFonts w:eastAsia="Times New Roman"/>
        </w:rPr>
        <w:t>below for details.</w:t>
      </w:r>
    </w:p>
    <w:p w14:paraId="3064F453" w14:textId="77777777" w:rsidR="00763606" w:rsidRDefault="00763606" w:rsidP="00191737">
      <w:pPr>
        <w:numPr>
          <w:ilvl w:val="0"/>
          <w:numId w:val="1"/>
        </w:numPr>
        <w:tabs>
          <w:tab w:val="clear" w:pos="1800"/>
          <w:tab w:val="num" w:pos="360"/>
        </w:tabs>
        <w:spacing w:before="120" w:after="120" w:line="240" w:lineRule="auto"/>
        <w:ind w:left="360"/>
        <w:rPr>
          <w:rFonts w:eastAsia="Times New Roman"/>
        </w:rPr>
      </w:pPr>
      <w:r>
        <w:rPr>
          <w:rFonts w:eastAsia="Times New Roman"/>
          <w:b/>
          <w:bCs/>
        </w:rPr>
        <w:t>Enhanced CDCS Rates</w:t>
      </w:r>
      <w:r>
        <w:rPr>
          <w:rFonts w:eastAsia="Times New Roman"/>
        </w:rPr>
        <w:t xml:space="preserve">: Increase from </w:t>
      </w:r>
      <w:r>
        <w:rPr>
          <w:rFonts w:eastAsia="Times New Roman"/>
          <w:b/>
          <w:bCs/>
        </w:rPr>
        <w:t>7.5% to 12.5%</w:t>
      </w:r>
      <w:r>
        <w:rPr>
          <w:rFonts w:eastAsia="Times New Roman"/>
        </w:rPr>
        <w:t>.</w:t>
      </w:r>
    </w:p>
    <w:p w14:paraId="2BFDEB98" w14:textId="77777777" w:rsidR="00763606" w:rsidRDefault="00763606" w:rsidP="00191737">
      <w:pPr>
        <w:numPr>
          <w:ilvl w:val="0"/>
          <w:numId w:val="1"/>
        </w:numPr>
        <w:tabs>
          <w:tab w:val="clear" w:pos="1800"/>
          <w:tab w:val="num" w:pos="360"/>
        </w:tabs>
        <w:spacing w:before="120" w:after="120" w:line="240" w:lineRule="auto"/>
        <w:ind w:left="360"/>
        <w:rPr>
          <w:rFonts w:eastAsia="Times New Roman"/>
        </w:rPr>
      </w:pPr>
      <w:r>
        <w:rPr>
          <w:rFonts w:eastAsia="Times New Roman"/>
          <w:b/>
          <w:bCs/>
        </w:rPr>
        <w:t>Holiday Pay</w:t>
      </w:r>
      <w:r>
        <w:rPr>
          <w:rFonts w:eastAsia="Times New Roman"/>
        </w:rPr>
        <w:t xml:space="preserve">: </w:t>
      </w:r>
      <w:r>
        <w:rPr>
          <w:rFonts w:eastAsia="Times New Roman"/>
          <w:b/>
          <w:bCs/>
        </w:rPr>
        <w:t>Christmas Day (December 25, 2025)</w:t>
      </w:r>
      <w:r>
        <w:rPr>
          <w:rFonts w:eastAsia="Times New Roman"/>
        </w:rPr>
        <w:t xml:space="preserve"> is now a paid holiday.</w:t>
      </w:r>
    </w:p>
    <w:p w14:paraId="4743FF15" w14:textId="77777777" w:rsidR="00763606" w:rsidRDefault="00763606" w:rsidP="00191737">
      <w:pPr>
        <w:numPr>
          <w:ilvl w:val="0"/>
          <w:numId w:val="1"/>
        </w:numPr>
        <w:tabs>
          <w:tab w:val="clear" w:pos="1800"/>
          <w:tab w:val="num" w:pos="360"/>
        </w:tabs>
        <w:spacing w:before="120" w:after="120" w:line="240" w:lineRule="auto"/>
        <w:ind w:left="360"/>
        <w:rPr>
          <w:rFonts w:eastAsia="Times New Roman"/>
        </w:rPr>
      </w:pPr>
      <w:r>
        <w:rPr>
          <w:rFonts w:eastAsia="Times New Roman"/>
          <w:b/>
          <w:bCs/>
        </w:rPr>
        <w:t>Caregiver PTO</w:t>
      </w:r>
      <w:r>
        <w:rPr>
          <w:rFonts w:eastAsia="Times New Roman"/>
        </w:rPr>
        <w:t xml:space="preserve">: Up to </w:t>
      </w:r>
      <w:r>
        <w:rPr>
          <w:rFonts w:eastAsia="Times New Roman"/>
          <w:b/>
          <w:bCs/>
        </w:rPr>
        <w:t>120 hours of accrued PTO</w:t>
      </w:r>
      <w:r>
        <w:rPr>
          <w:rFonts w:eastAsia="Times New Roman"/>
        </w:rPr>
        <w:t xml:space="preserve"> must be paid upon termination of employment (managed by the FMS).</w:t>
      </w:r>
    </w:p>
    <w:p w14:paraId="169DB2CE" w14:textId="77777777" w:rsidR="00763606" w:rsidRDefault="00763606" w:rsidP="00191737">
      <w:pPr>
        <w:numPr>
          <w:ilvl w:val="0"/>
          <w:numId w:val="1"/>
        </w:numPr>
        <w:tabs>
          <w:tab w:val="clear" w:pos="1800"/>
          <w:tab w:val="num" w:pos="360"/>
        </w:tabs>
        <w:spacing w:before="120" w:after="120" w:line="240" w:lineRule="auto"/>
        <w:ind w:left="360"/>
        <w:rPr>
          <w:rFonts w:eastAsia="Times New Roman"/>
        </w:rPr>
      </w:pPr>
      <w:r>
        <w:rPr>
          <w:rFonts w:eastAsia="Times New Roman"/>
          <w:b/>
          <w:bCs/>
        </w:rPr>
        <w:t>Service Rate Adjustments</w:t>
      </w:r>
      <w:r>
        <w:rPr>
          <w:rFonts w:eastAsia="Times New Roman"/>
        </w:rPr>
        <w:t>:</w:t>
      </w:r>
    </w:p>
    <w:p w14:paraId="4B3CD303" w14:textId="51E65CC5" w:rsidR="002A721A" w:rsidRDefault="00CF545F" w:rsidP="00191737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If a member </w:t>
      </w:r>
      <w:r w:rsidR="00040412">
        <w:rPr>
          <w:rFonts w:eastAsia="Times New Roman"/>
        </w:rPr>
        <w:t>receives a</w:t>
      </w:r>
      <w:r>
        <w:rPr>
          <w:rFonts w:eastAsia="Times New Roman"/>
        </w:rPr>
        <w:t xml:space="preserve"> </w:t>
      </w:r>
      <w:r w:rsidR="002274AA">
        <w:rPr>
          <w:rFonts w:eastAsia="Times New Roman"/>
        </w:rPr>
        <w:t xml:space="preserve">formal </w:t>
      </w:r>
      <w:r>
        <w:rPr>
          <w:rFonts w:eastAsia="Times New Roman"/>
        </w:rPr>
        <w:t>MA Home Care service such as SNV,</w:t>
      </w:r>
      <w:r w:rsidR="00763606">
        <w:rPr>
          <w:rFonts w:eastAsia="Times New Roman"/>
        </w:rPr>
        <w:t xml:space="preserve"> home health </w:t>
      </w:r>
      <w:r w:rsidR="00040412">
        <w:rPr>
          <w:rFonts w:eastAsia="Times New Roman"/>
        </w:rPr>
        <w:t>aide services,</w:t>
      </w:r>
      <w:r w:rsidR="00763606">
        <w:rPr>
          <w:rFonts w:eastAsia="Times New Roman"/>
        </w:rPr>
        <w:t xml:space="preserve"> PCA, and CFSS</w:t>
      </w:r>
      <w:r w:rsidR="00040412">
        <w:rPr>
          <w:rFonts w:eastAsia="Times New Roman"/>
        </w:rPr>
        <w:t>,</w:t>
      </w:r>
      <w:r w:rsidR="00763606">
        <w:rPr>
          <w:rFonts w:eastAsia="Times New Roman"/>
        </w:rPr>
        <w:t xml:space="preserve"> rates will be adjusted</w:t>
      </w:r>
      <w:r w:rsidR="006C17F3">
        <w:rPr>
          <w:rFonts w:eastAsia="Times New Roman"/>
        </w:rPr>
        <w:t xml:space="preserve"> in the back end, but will display </w:t>
      </w:r>
      <w:r w:rsidR="00124414">
        <w:rPr>
          <w:rFonts w:eastAsia="Times New Roman"/>
        </w:rPr>
        <w:t xml:space="preserve">in Bridgeview at the </w:t>
      </w:r>
      <w:r w:rsidR="006C17F3">
        <w:rPr>
          <w:rFonts w:eastAsia="Times New Roman"/>
        </w:rPr>
        <w:t>previous rate until next RA</w:t>
      </w:r>
      <w:r w:rsidR="006C03C3">
        <w:rPr>
          <w:rFonts w:eastAsia="Times New Roman"/>
        </w:rPr>
        <w:t xml:space="preserve">. </w:t>
      </w:r>
    </w:p>
    <w:p w14:paraId="3AE14B13" w14:textId="7E66967E" w:rsidR="00763606" w:rsidRPr="003232CB" w:rsidRDefault="006C17F3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rPr>
          <w:rFonts w:eastAsia="Times New Roman"/>
        </w:rPr>
      </w:pPr>
      <w:r w:rsidRPr="003232CB">
        <w:rPr>
          <w:rFonts w:eastAsia="Times New Roman"/>
        </w:rPr>
        <w:t>Even with separate line authorizations, these amounts are deducted from the CDCS budget.</w:t>
      </w:r>
      <w:r w:rsidR="003232CB" w:rsidRPr="003232CB">
        <w:rPr>
          <w:rFonts w:eastAsia="Times New Roman"/>
        </w:rPr>
        <w:t xml:space="preserve"> </w:t>
      </w:r>
      <w:r w:rsidR="002A721A" w:rsidRPr="003232CB">
        <w:rPr>
          <w:rFonts w:eastAsia="Times New Roman"/>
        </w:rPr>
        <w:t>Care Coordinator</w:t>
      </w:r>
      <w:r w:rsidR="000F52B2">
        <w:rPr>
          <w:rFonts w:eastAsia="Times New Roman"/>
        </w:rPr>
        <w:t>s</w:t>
      </w:r>
      <w:r w:rsidR="002A721A" w:rsidRPr="003232CB">
        <w:rPr>
          <w:rFonts w:eastAsia="Times New Roman"/>
        </w:rPr>
        <w:t xml:space="preserve"> </w:t>
      </w:r>
      <w:r w:rsidR="0023049E">
        <w:rPr>
          <w:rFonts w:eastAsia="Times New Roman"/>
        </w:rPr>
        <w:t xml:space="preserve">should evaluate if </w:t>
      </w:r>
      <w:r w:rsidR="003937E5">
        <w:rPr>
          <w:rFonts w:eastAsia="Times New Roman"/>
        </w:rPr>
        <w:t>these rate increases will potentially move a</w:t>
      </w:r>
      <w:r w:rsidR="002A721A" w:rsidRPr="003232CB">
        <w:rPr>
          <w:rFonts w:eastAsia="Times New Roman"/>
        </w:rPr>
        <w:t xml:space="preserve"> </w:t>
      </w:r>
      <w:r w:rsidR="007825A4" w:rsidRPr="003232CB">
        <w:rPr>
          <w:rFonts w:eastAsia="Times New Roman"/>
        </w:rPr>
        <w:t>member</w:t>
      </w:r>
      <w:r w:rsidR="003937E5">
        <w:rPr>
          <w:rFonts w:eastAsia="Times New Roman"/>
        </w:rPr>
        <w:t xml:space="preserve"> </w:t>
      </w:r>
      <w:r w:rsidR="003232CB">
        <w:rPr>
          <w:rFonts w:eastAsia="Times New Roman"/>
        </w:rPr>
        <w:t>over budget and</w:t>
      </w:r>
      <w:r w:rsidR="00CD3FB1">
        <w:rPr>
          <w:rFonts w:eastAsia="Times New Roman"/>
        </w:rPr>
        <w:t xml:space="preserve"> if</w:t>
      </w:r>
      <w:r w:rsidR="003232CB">
        <w:rPr>
          <w:rFonts w:eastAsia="Times New Roman"/>
        </w:rPr>
        <w:t xml:space="preserve"> </w:t>
      </w:r>
      <w:r w:rsidR="00306977">
        <w:rPr>
          <w:rFonts w:eastAsia="Times New Roman"/>
        </w:rPr>
        <w:t xml:space="preserve">their </w:t>
      </w:r>
      <w:r w:rsidR="00CD3FB1">
        <w:rPr>
          <w:rFonts w:eastAsia="Times New Roman"/>
        </w:rPr>
        <w:t xml:space="preserve">service </w:t>
      </w:r>
      <w:r w:rsidR="00306977">
        <w:rPr>
          <w:rFonts w:eastAsia="Times New Roman"/>
        </w:rPr>
        <w:t xml:space="preserve">plan </w:t>
      </w:r>
      <w:r w:rsidR="003937E5">
        <w:rPr>
          <w:rFonts w:eastAsia="Times New Roman"/>
        </w:rPr>
        <w:t xml:space="preserve">may need to be </w:t>
      </w:r>
      <w:r w:rsidR="002A721A" w:rsidRPr="003232CB">
        <w:rPr>
          <w:rFonts w:eastAsia="Times New Roman"/>
        </w:rPr>
        <w:t>revised by the member, FMS, and support planner</w:t>
      </w:r>
      <w:r w:rsidR="00E5134F">
        <w:rPr>
          <w:rFonts w:eastAsia="Times New Roman"/>
        </w:rPr>
        <w:t>.</w:t>
      </w:r>
      <w:r w:rsidR="00CD3FB1">
        <w:rPr>
          <w:rFonts w:eastAsia="Times New Roman"/>
        </w:rPr>
        <w:t xml:space="preserve"> Follow normal DTR process if applicable. </w:t>
      </w:r>
    </w:p>
    <w:p w14:paraId="46137426" w14:textId="51257D94" w:rsidR="00763606" w:rsidRDefault="00553C65" w:rsidP="00191737">
      <w:pPr>
        <w:numPr>
          <w:ilvl w:val="0"/>
          <w:numId w:val="1"/>
        </w:numPr>
        <w:tabs>
          <w:tab w:val="clear" w:pos="1800"/>
          <w:tab w:val="num" w:pos="360"/>
        </w:tabs>
        <w:spacing w:before="120" w:after="120" w:line="240" w:lineRule="auto"/>
        <w:ind w:left="360"/>
        <w:rPr>
          <w:rFonts w:eastAsia="Times New Roman"/>
        </w:rPr>
      </w:pPr>
      <w:r>
        <w:rPr>
          <w:rFonts w:eastAsia="Times New Roman"/>
          <w:b/>
          <w:bCs/>
        </w:rPr>
        <w:t>EW</w:t>
      </w:r>
      <w:r w:rsidR="00763606">
        <w:rPr>
          <w:rFonts w:eastAsia="Times New Roman"/>
          <w:b/>
          <w:bCs/>
        </w:rPr>
        <w:t xml:space="preserve"> Services</w:t>
      </w:r>
      <w:r w:rsidR="00763606">
        <w:rPr>
          <w:rFonts w:eastAsia="Times New Roman"/>
        </w:rPr>
        <w:t>:</w:t>
      </w:r>
    </w:p>
    <w:p w14:paraId="160E29AA" w14:textId="77777777" w:rsidR="00CD3FB1" w:rsidRPr="003232CB" w:rsidRDefault="00553C65" w:rsidP="00CD3FB1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EW services impacted by the COLA </w:t>
      </w:r>
      <w:r w:rsidR="008C04D9">
        <w:rPr>
          <w:rFonts w:eastAsia="Times New Roman"/>
        </w:rPr>
        <w:t xml:space="preserve">increase </w:t>
      </w:r>
      <w:r w:rsidR="00967A0A" w:rsidRPr="00E72E06">
        <w:rPr>
          <w:rFonts w:eastAsia="Times New Roman"/>
          <w:b/>
          <w:bCs/>
        </w:rPr>
        <w:t>and</w:t>
      </w:r>
      <w:r w:rsidR="00967A0A">
        <w:rPr>
          <w:rFonts w:eastAsia="Times New Roman"/>
        </w:rPr>
        <w:t xml:space="preserve"> approved under CDCS (T2028)</w:t>
      </w:r>
      <w:r w:rsidR="001A2E3C">
        <w:rPr>
          <w:rFonts w:eastAsia="Times New Roman"/>
        </w:rPr>
        <w:t xml:space="preserve">, such as home delivered meals, </w:t>
      </w:r>
      <w:r w:rsidR="00967A0A">
        <w:rPr>
          <w:rFonts w:eastAsia="Times New Roman"/>
        </w:rPr>
        <w:t>must</w:t>
      </w:r>
      <w:r w:rsidR="001A2E3C">
        <w:rPr>
          <w:rFonts w:eastAsia="Times New Roman"/>
        </w:rPr>
        <w:t xml:space="preserve"> be </w:t>
      </w:r>
      <w:r w:rsidR="00472950">
        <w:rPr>
          <w:rFonts w:eastAsia="Times New Roman"/>
        </w:rPr>
        <w:t>communicated</w:t>
      </w:r>
      <w:r w:rsidR="00E65146">
        <w:rPr>
          <w:rFonts w:eastAsia="Times New Roman"/>
        </w:rPr>
        <w:t xml:space="preserve"> to</w:t>
      </w:r>
      <w:r w:rsidR="001A2E3C">
        <w:rPr>
          <w:rFonts w:eastAsia="Times New Roman"/>
        </w:rPr>
        <w:t xml:space="preserve"> the member</w:t>
      </w:r>
      <w:r w:rsidR="00F93693">
        <w:rPr>
          <w:rFonts w:eastAsia="Times New Roman"/>
        </w:rPr>
        <w:t xml:space="preserve">, and </w:t>
      </w:r>
      <w:r w:rsidR="00CD3FB1">
        <w:rPr>
          <w:rFonts w:eastAsia="Times New Roman"/>
        </w:rPr>
        <w:t xml:space="preserve">service </w:t>
      </w:r>
      <w:r w:rsidR="00F93693">
        <w:rPr>
          <w:rFonts w:eastAsia="Times New Roman"/>
        </w:rPr>
        <w:t xml:space="preserve">plan </w:t>
      </w:r>
      <w:r w:rsidR="002C1F13">
        <w:rPr>
          <w:rFonts w:eastAsia="Times New Roman"/>
        </w:rPr>
        <w:t>must be revised by</w:t>
      </w:r>
      <w:r w:rsidR="00BD0E79">
        <w:rPr>
          <w:rFonts w:eastAsia="Times New Roman"/>
        </w:rPr>
        <w:t xml:space="preserve"> the member,</w:t>
      </w:r>
      <w:r w:rsidR="001A2E3C">
        <w:rPr>
          <w:rFonts w:eastAsia="Times New Roman"/>
        </w:rPr>
        <w:t xml:space="preserve"> FMS</w:t>
      </w:r>
      <w:r w:rsidR="00BD0E79">
        <w:rPr>
          <w:rFonts w:eastAsia="Times New Roman"/>
        </w:rPr>
        <w:t>, and support planner if applicable</w:t>
      </w:r>
      <w:r w:rsidR="001A2E3C">
        <w:rPr>
          <w:rFonts w:eastAsia="Times New Roman"/>
        </w:rPr>
        <w:t>.</w:t>
      </w:r>
      <w:r w:rsidR="00CE2C14">
        <w:rPr>
          <w:rFonts w:eastAsia="Times New Roman"/>
        </w:rPr>
        <w:t xml:space="preserve"> Care Coordinators </w:t>
      </w:r>
      <w:r w:rsidR="000330CD">
        <w:rPr>
          <w:rFonts w:eastAsia="Times New Roman"/>
        </w:rPr>
        <w:t xml:space="preserve">should evaluate if these rate increases will </w:t>
      </w:r>
      <w:r w:rsidR="000B37ED">
        <w:rPr>
          <w:rFonts w:eastAsia="Times New Roman"/>
        </w:rPr>
        <w:t xml:space="preserve">potentially move a member over budget. </w:t>
      </w:r>
      <w:r w:rsidR="00CD3FB1">
        <w:rPr>
          <w:rFonts w:eastAsia="Times New Roman"/>
        </w:rPr>
        <w:t xml:space="preserve">Follow normal DTR process if applicable. </w:t>
      </w:r>
    </w:p>
    <w:p w14:paraId="4B961AC8" w14:textId="024FEE37" w:rsidR="001A2E3C" w:rsidRPr="008C04D9" w:rsidRDefault="001A2E3C" w:rsidP="00191737">
      <w:pPr>
        <w:numPr>
          <w:ilvl w:val="2"/>
          <w:numId w:val="1"/>
        </w:numPr>
        <w:tabs>
          <w:tab w:val="clear" w:pos="3240"/>
          <w:tab w:val="num" w:pos="1800"/>
        </w:tabs>
        <w:spacing w:before="120" w:after="120" w:line="240" w:lineRule="auto"/>
        <w:ind w:left="1800"/>
        <w:rPr>
          <w:rFonts w:eastAsia="Times New Roman"/>
        </w:rPr>
      </w:pPr>
      <w:r>
        <w:rPr>
          <w:rFonts w:eastAsia="Times New Roman"/>
        </w:rPr>
        <w:t xml:space="preserve">If using a DHS-contracted provider, </w:t>
      </w:r>
      <w:r w:rsidR="00867DC5">
        <w:rPr>
          <w:rFonts w:eastAsia="Times New Roman"/>
        </w:rPr>
        <w:t>we must pay the 1/1/2026 COLA rate.</w:t>
      </w:r>
    </w:p>
    <w:p w14:paraId="00D06F0C" w14:textId="77777777" w:rsidR="0021529C" w:rsidRPr="00D32A97" w:rsidRDefault="0021529C" w:rsidP="00191737">
      <w:pPr>
        <w:numPr>
          <w:ilvl w:val="0"/>
          <w:numId w:val="2"/>
        </w:numPr>
        <w:tabs>
          <w:tab w:val="clear" w:pos="1800"/>
          <w:tab w:val="num" w:pos="360"/>
        </w:tabs>
        <w:spacing w:before="120" w:after="120" w:line="240" w:lineRule="auto"/>
        <w:ind w:left="360"/>
        <w:rPr>
          <w:rFonts w:eastAsia="Times New Roman"/>
          <w:b/>
          <w:bCs/>
          <w:sz w:val="24"/>
          <w:szCs w:val="24"/>
        </w:rPr>
      </w:pPr>
      <w:r w:rsidRPr="00D32A97">
        <w:rPr>
          <w:rFonts w:eastAsia="Times New Roman"/>
          <w:b/>
          <w:bCs/>
        </w:rPr>
        <w:t>Paid Medical Leave Program:</w:t>
      </w:r>
    </w:p>
    <w:p w14:paraId="29C9DB92" w14:textId="30BDEA40" w:rsidR="00763606" w:rsidRDefault="00763606" w:rsidP="00191737">
      <w:pPr>
        <w:numPr>
          <w:ilvl w:val="1"/>
          <w:numId w:val="2"/>
        </w:numPr>
        <w:tabs>
          <w:tab w:val="clear" w:pos="2520"/>
          <w:tab w:val="num" w:pos="1080"/>
        </w:tabs>
        <w:spacing w:before="120" w:after="120" w:line="240" w:lineRule="auto"/>
        <w:ind w:left="1080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Effective </w:t>
      </w:r>
      <w:r>
        <w:rPr>
          <w:rFonts w:eastAsia="Times New Roman"/>
          <w:b/>
          <w:bCs/>
        </w:rPr>
        <w:t>January 1, 2026</w:t>
      </w:r>
      <w:r>
        <w:rPr>
          <w:rFonts w:eastAsia="Times New Roman"/>
        </w:rPr>
        <w:t>, all MN employees are covered under the new Paid Medical Leave program.</w:t>
      </w:r>
    </w:p>
    <w:p w14:paraId="3FF92AA2" w14:textId="77777777" w:rsidR="00763606" w:rsidRDefault="00763606" w:rsidP="00191737">
      <w:pPr>
        <w:numPr>
          <w:ilvl w:val="1"/>
          <w:numId w:val="2"/>
        </w:numPr>
        <w:tabs>
          <w:tab w:val="clear" w:pos="2520"/>
          <w:tab w:val="num" w:pos="1080"/>
        </w:tabs>
        <w:spacing w:before="120" w:after="120" w:line="240" w:lineRule="auto"/>
        <w:ind w:left="1080"/>
        <w:rPr>
          <w:rFonts w:eastAsia="Times New Roman"/>
        </w:rPr>
      </w:pPr>
      <w:r>
        <w:rPr>
          <w:rFonts w:eastAsia="Times New Roman"/>
        </w:rPr>
        <w:t>Impact:</w:t>
      </w:r>
    </w:p>
    <w:p w14:paraId="54E56457" w14:textId="77777777" w:rsidR="00763606" w:rsidRDefault="00763606" w:rsidP="00191737">
      <w:pPr>
        <w:numPr>
          <w:ilvl w:val="2"/>
          <w:numId w:val="2"/>
        </w:numPr>
        <w:tabs>
          <w:tab w:val="clear" w:pos="3240"/>
          <w:tab w:val="num" w:pos="1800"/>
        </w:tabs>
        <w:spacing w:after="0" w:line="240" w:lineRule="auto"/>
        <w:ind w:left="1800"/>
        <w:rPr>
          <w:rFonts w:eastAsia="Times New Roman"/>
        </w:rPr>
      </w:pPr>
      <w:r>
        <w:rPr>
          <w:rFonts w:eastAsia="Times New Roman"/>
          <w:b/>
          <w:bCs/>
        </w:rPr>
        <w:t>0.44% tax increase</w:t>
      </w:r>
      <w:r>
        <w:rPr>
          <w:rFonts w:eastAsia="Times New Roman"/>
        </w:rPr>
        <w:t xml:space="preserve"> on the plan.</w:t>
      </w:r>
    </w:p>
    <w:p w14:paraId="7F472F20" w14:textId="77777777" w:rsidR="00763606" w:rsidRDefault="00763606" w:rsidP="00191737">
      <w:pPr>
        <w:numPr>
          <w:ilvl w:val="2"/>
          <w:numId w:val="2"/>
        </w:numPr>
        <w:tabs>
          <w:tab w:val="clear" w:pos="3240"/>
          <w:tab w:val="num" w:pos="1800"/>
        </w:tabs>
        <w:spacing w:after="0" w:line="240" w:lineRule="auto"/>
        <w:ind w:left="1800"/>
        <w:rPr>
          <w:rFonts w:eastAsia="Times New Roman"/>
        </w:rPr>
      </w:pPr>
      <w:r>
        <w:rPr>
          <w:rFonts w:eastAsia="Times New Roman"/>
          <w:b/>
          <w:bCs/>
        </w:rPr>
        <w:t>0.44% payroll deduction</w:t>
      </w:r>
      <w:r>
        <w:rPr>
          <w:rFonts w:eastAsia="Times New Roman"/>
        </w:rPr>
        <w:t xml:space="preserve"> from employee wages (including bonuses).</w:t>
      </w:r>
    </w:p>
    <w:p w14:paraId="71EBA440" w14:textId="6F73A748" w:rsidR="00191737" w:rsidRPr="00191737" w:rsidRDefault="00447AD5" w:rsidP="002C6DBB">
      <w:pPr>
        <w:numPr>
          <w:ilvl w:val="1"/>
          <w:numId w:val="2"/>
        </w:numPr>
        <w:tabs>
          <w:tab w:val="clear" w:pos="2520"/>
          <w:tab w:val="num" w:pos="1080"/>
        </w:tabs>
        <w:spacing w:before="120" w:after="120"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This change must be communicated to the members, and plan must be revised by the member, FMS, and support planner if applicable. </w:t>
      </w:r>
    </w:p>
    <w:p w14:paraId="2ED4EF18" w14:textId="77777777" w:rsidR="00191737" w:rsidRPr="00191737" w:rsidRDefault="00191737" w:rsidP="00191737">
      <w:pPr>
        <w:spacing w:before="120" w:after="120" w:line="240" w:lineRule="auto"/>
        <w:ind w:left="720"/>
        <w:rPr>
          <w:rFonts w:eastAsia="Times New Roman"/>
        </w:rPr>
      </w:pPr>
    </w:p>
    <w:p w14:paraId="5BC0D208" w14:textId="36C97EC5" w:rsidR="00B117A7" w:rsidRPr="00191737" w:rsidRDefault="00B117A7" w:rsidP="00191737">
      <w:pPr>
        <w:spacing w:before="120" w:after="120" w:line="240" w:lineRule="auto"/>
        <w:rPr>
          <w:rFonts w:eastAsia="Times New Roman"/>
        </w:rPr>
      </w:pPr>
      <w:r w:rsidRPr="00191737">
        <w:rPr>
          <w:rFonts w:ascii="Calibri" w:hAnsi="Calibri" w:cs="Calibri"/>
          <w:b/>
          <w:bCs/>
          <w:color w:val="0070C0"/>
          <w:sz w:val="28"/>
          <w:szCs w:val="28"/>
        </w:rPr>
        <w:t xml:space="preserve">Care Coordinator and Member Action </w:t>
      </w:r>
      <w:r w:rsidR="00C20CD0" w:rsidRPr="00191737">
        <w:rPr>
          <w:rFonts w:ascii="Calibri" w:hAnsi="Calibri" w:cs="Calibri"/>
          <w:b/>
          <w:bCs/>
          <w:color w:val="0070C0"/>
          <w:sz w:val="28"/>
          <w:szCs w:val="28"/>
        </w:rPr>
        <w:t>Items</w:t>
      </w:r>
    </w:p>
    <w:p w14:paraId="5D65A31C" w14:textId="42E573A3" w:rsidR="00FE517A" w:rsidRDefault="009D12D8" w:rsidP="00191737">
      <w:pPr>
        <w:spacing w:before="120" w:after="120" w:line="240" w:lineRule="auto"/>
        <w:rPr>
          <w:rFonts w:eastAsia="Times New Roman"/>
        </w:rPr>
      </w:pPr>
      <w:bookmarkStart w:id="0" w:name="_✅Care_Coordinator_Action"/>
      <w:bookmarkEnd w:id="0"/>
      <w:r>
        <w:rPr>
          <w:rFonts w:eastAsia="Times New Roman"/>
          <w:b/>
          <w:bCs/>
          <w:color w:val="FF0000"/>
        </w:rPr>
        <w:t>To be completed by</w:t>
      </w:r>
      <w:r w:rsidRPr="00E03B4F">
        <w:rPr>
          <w:rFonts w:eastAsia="Times New Roman"/>
          <w:b/>
          <w:bCs/>
          <w:color w:val="FF0000"/>
        </w:rPr>
        <w:t xml:space="preserve"> </w:t>
      </w:r>
      <w:r w:rsidR="002248B0" w:rsidRPr="00E03B4F">
        <w:rPr>
          <w:rFonts w:eastAsia="Times New Roman"/>
          <w:b/>
          <w:bCs/>
          <w:color w:val="FF0000"/>
        </w:rPr>
        <w:t>12/31/2025</w:t>
      </w:r>
      <w:r w:rsidR="00FE517A">
        <w:rPr>
          <w:rFonts w:eastAsia="Times New Roman"/>
        </w:rPr>
        <w:t>:</w:t>
      </w:r>
    </w:p>
    <w:p w14:paraId="52D8139C" w14:textId="083735B8" w:rsidR="00E7476F" w:rsidRPr="00FE517A" w:rsidRDefault="00FE517A" w:rsidP="00FE517A">
      <w:pPr>
        <w:pStyle w:val="ListParagraph"/>
        <w:numPr>
          <w:ilvl w:val="0"/>
          <w:numId w:val="5"/>
        </w:numPr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>C</w:t>
      </w:r>
      <w:r w:rsidR="00763606" w:rsidRPr="00FE517A">
        <w:rPr>
          <w:rFonts w:eastAsia="Times New Roman"/>
        </w:rPr>
        <w:t>omplete the</w:t>
      </w:r>
      <w:r w:rsidR="000B4EB3">
        <w:rPr>
          <w:rFonts w:eastAsia="Times New Roman"/>
        </w:rPr>
        <w:t xml:space="preserve"> following fields within the</w:t>
      </w:r>
      <w:r w:rsidR="00763606" w:rsidRPr="00FE517A">
        <w:rPr>
          <w:rFonts w:eastAsia="Times New Roman"/>
        </w:rPr>
        <w:t xml:space="preserve"> </w:t>
      </w:r>
      <w:r w:rsidR="00763606" w:rsidRPr="00FE517A">
        <w:rPr>
          <w:rFonts w:eastAsia="Times New Roman"/>
          <w:i/>
          <w:iCs/>
        </w:rPr>
        <w:t>Participant Information</w:t>
      </w:r>
      <w:r w:rsidR="00763606" w:rsidRPr="00FE517A">
        <w:rPr>
          <w:rFonts w:eastAsia="Times New Roman"/>
        </w:rPr>
        <w:t xml:space="preserve"> </w:t>
      </w:r>
      <w:r w:rsidR="00872FE7" w:rsidRPr="00FE517A">
        <w:rPr>
          <w:rFonts w:eastAsia="Times New Roman"/>
        </w:rPr>
        <w:t xml:space="preserve">section </w:t>
      </w:r>
      <w:r w:rsidR="00AD183B" w:rsidRPr="00FE517A">
        <w:rPr>
          <w:rFonts w:eastAsia="Times New Roman"/>
        </w:rPr>
        <w:t>of the</w:t>
      </w:r>
      <w:r w:rsidR="00763606" w:rsidRPr="00FE517A">
        <w:rPr>
          <w:rFonts w:eastAsia="Times New Roman"/>
        </w:rPr>
        <w:t xml:space="preserve"> </w:t>
      </w:r>
      <w:hyperlink r:id="rId11" w:history="1">
        <w:r w:rsidR="00763606" w:rsidRPr="00FE517A">
          <w:rPr>
            <w:rStyle w:val="Hyperlink"/>
            <w:rFonts w:eastAsia="Times New Roman"/>
            <w:b/>
            <w:bCs/>
          </w:rPr>
          <w:t>DHS</w:t>
        </w:r>
        <w:r w:rsidR="004714B5" w:rsidRPr="00FE517A">
          <w:rPr>
            <w:rStyle w:val="Hyperlink"/>
            <w:rFonts w:eastAsia="Times New Roman"/>
            <w:b/>
            <w:bCs/>
          </w:rPr>
          <w:t>-</w:t>
        </w:r>
        <w:r w:rsidR="00763606" w:rsidRPr="00FE517A">
          <w:rPr>
            <w:rStyle w:val="Hyperlink"/>
            <w:rFonts w:eastAsia="Times New Roman"/>
            <w:b/>
            <w:bCs/>
          </w:rPr>
          <w:t>6633A</w:t>
        </w:r>
      </w:hyperlink>
      <w:r w:rsidR="00872FE7">
        <w:t>:</w:t>
      </w:r>
    </w:p>
    <w:p w14:paraId="05D5975B" w14:textId="397CE7A9" w:rsidR="00CC0C77" w:rsidRPr="00E7476F" w:rsidRDefault="00CC0C77" w:rsidP="00872FE7">
      <w:pPr>
        <w:numPr>
          <w:ilvl w:val="1"/>
          <w:numId w:val="5"/>
        </w:numPr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lastRenderedPageBreak/>
        <w:t xml:space="preserve">See </w:t>
      </w:r>
      <w:hyperlink w:anchor="_📅_Example_for" w:history="1">
        <w:r w:rsidR="00AE3AE7" w:rsidRPr="00AE3AE7">
          <w:rPr>
            <w:rStyle w:val="Hyperlink"/>
            <w:rFonts w:eastAsia="Times New Roman"/>
          </w:rPr>
          <w:t>below</w:t>
        </w:r>
      </w:hyperlink>
      <w:r w:rsidR="00AE3AE7">
        <w:rPr>
          <w:rFonts w:eastAsia="Times New Roman"/>
        </w:rPr>
        <w:t xml:space="preserve"> </w:t>
      </w:r>
      <w:r w:rsidR="00D32A97">
        <w:rPr>
          <w:rFonts w:eastAsia="Times New Roman"/>
        </w:rPr>
        <w:t>for</w:t>
      </w:r>
      <w:r w:rsidR="00755700">
        <w:rPr>
          <w:rFonts w:eastAsia="Times New Roman"/>
        </w:rPr>
        <w:t xml:space="preserve"> </w:t>
      </w:r>
      <w:r w:rsidR="009D12D8">
        <w:rPr>
          <w:rFonts w:eastAsia="Times New Roman"/>
        </w:rPr>
        <w:t>required fields and an</w:t>
      </w:r>
      <w:r w:rsidR="00AE3AE7">
        <w:rPr>
          <w:rFonts w:eastAsia="Times New Roman"/>
        </w:rPr>
        <w:t xml:space="preserve"> example of how to calculate th</w:t>
      </w:r>
      <w:r w:rsidR="003D51E4">
        <w:rPr>
          <w:rFonts w:eastAsia="Times New Roman"/>
        </w:rPr>
        <w:t>is section</w:t>
      </w:r>
      <w:r w:rsidR="00AE3AE7">
        <w:rPr>
          <w:rFonts w:eastAsia="Times New Roman"/>
        </w:rPr>
        <w:t>.</w:t>
      </w:r>
    </w:p>
    <w:p w14:paraId="5A41EE76" w14:textId="7ACF7BCB" w:rsidR="00763606" w:rsidRPr="0075742D" w:rsidRDefault="00AE3AE7" w:rsidP="00FE517A">
      <w:pPr>
        <w:pStyle w:val="ListParagraph"/>
        <w:numPr>
          <w:ilvl w:val="0"/>
          <w:numId w:val="5"/>
        </w:numPr>
        <w:spacing w:before="120" w:after="120" w:line="240" w:lineRule="auto"/>
        <w:rPr>
          <w:rFonts w:eastAsia="Times New Roman"/>
          <w:sz w:val="24"/>
          <w:szCs w:val="24"/>
        </w:rPr>
      </w:pPr>
      <w:r>
        <w:t>S</w:t>
      </w:r>
      <w:r w:rsidR="00AD183B">
        <w:t>end</w:t>
      </w:r>
      <w:r w:rsidR="00763606" w:rsidRPr="00FE517A">
        <w:rPr>
          <w:rFonts w:eastAsia="Times New Roman"/>
        </w:rPr>
        <w:t xml:space="preserve"> </w:t>
      </w:r>
      <w:r w:rsidRPr="00FE517A">
        <w:rPr>
          <w:rFonts w:eastAsia="Times New Roman"/>
        </w:rPr>
        <w:t>document to</w:t>
      </w:r>
      <w:r w:rsidR="00763606" w:rsidRPr="00FE517A">
        <w:rPr>
          <w:rFonts w:eastAsia="Times New Roman"/>
        </w:rPr>
        <w:t xml:space="preserve"> </w:t>
      </w:r>
      <w:r w:rsidR="00763606" w:rsidRPr="00FE517A">
        <w:rPr>
          <w:rFonts w:eastAsia="Times New Roman"/>
          <w:b/>
          <w:bCs/>
        </w:rPr>
        <w:t>all</w:t>
      </w:r>
      <w:r w:rsidR="00763606" w:rsidRPr="00FE517A">
        <w:rPr>
          <w:rFonts w:eastAsia="Times New Roman"/>
        </w:rPr>
        <w:t xml:space="preserve"> CDCS members</w:t>
      </w:r>
      <w:r w:rsidR="00C200D3" w:rsidRPr="00FE517A">
        <w:rPr>
          <w:rFonts w:eastAsia="Times New Roman"/>
        </w:rPr>
        <w:t xml:space="preserve">, </w:t>
      </w:r>
      <w:r w:rsidR="00763606" w:rsidRPr="00FE517A">
        <w:rPr>
          <w:rFonts w:eastAsia="Times New Roman"/>
        </w:rPr>
        <w:t xml:space="preserve">FMS providers, and </w:t>
      </w:r>
      <w:r w:rsidR="003C5719" w:rsidRPr="00FE517A">
        <w:rPr>
          <w:rFonts w:eastAsia="Times New Roman"/>
        </w:rPr>
        <w:t xml:space="preserve">if applicable, </w:t>
      </w:r>
      <w:r w:rsidR="00763606" w:rsidRPr="00FE517A">
        <w:rPr>
          <w:rFonts w:eastAsia="Times New Roman"/>
        </w:rPr>
        <w:t xml:space="preserve">Support Planners. </w:t>
      </w:r>
    </w:p>
    <w:p w14:paraId="527FAF9B" w14:textId="3ABD1A03" w:rsidR="0075742D" w:rsidRPr="0075742D" w:rsidRDefault="0075742D" w:rsidP="0075742D">
      <w:pPr>
        <w:numPr>
          <w:ilvl w:val="1"/>
          <w:numId w:val="5"/>
        </w:numPr>
        <w:spacing w:before="120" w:after="120" w:line="240" w:lineRule="auto"/>
        <w:rPr>
          <w:rFonts w:eastAsia="Times New Roman"/>
        </w:rPr>
      </w:pPr>
      <w:r w:rsidRPr="0075742D">
        <w:rPr>
          <w:rFonts w:eastAsia="Times New Roman"/>
        </w:rPr>
        <w:t>Ensure members understand they must sign, date, and return the Addendum</w:t>
      </w:r>
      <w:r>
        <w:rPr>
          <w:rFonts w:eastAsia="Times New Roman"/>
        </w:rPr>
        <w:t xml:space="preserve"> or </w:t>
      </w:r>
      <w:r w:rsidR="00F3141F">
        <w:rPr>
          <w:rFonts w:eastAsia="Times New Roman"/>
        </w:rPr>
        <w:t>substitute</w:t>
      </w:r>
      <w:r>
        <w:rPr>
          <w:rFonts w:eastAsia="Times New Roman"/>
        </w:rPr>
        <w:t xml:space="preserve"> document</w:t>
      </w:r>
      <w:r w:rsidRPr="0075742D">
        <w:rPr>
          <w:rFonts w:eastAsia="Times New Roman"/>
        </w:rPr>
        <w:t>.</w:t>
      </w:r>
    </w:p>
    <w:p w14:paraId="36D66BAB" w14:textId="408F177A" w:rsidR="003136BF" w:rsidRPr="003136BF" w:rsidRDefault="00456F10" w:rsidP="003136BF">
      <w:pPr>
        <w:numPr>
          <w:ilvl w:val="0"/>
          <w:numId w:val="5"/>
        </w:numPr>
        <w:spacing w:before="120" w:after="120" w:line="240" w:lineRule="auto"/>
        <w:rPr>
          <w:rFonts w:eastAsia="Times New Roman"/>
        </w:rPr>
      </w:pPr>
      <w:r>
        <w:rPr>
          <w:rFonts w:eastAsia="Times New Roman"/>
        </w:rPr>
        <w:t xml:space="preserve">Case </w:t>
      </w:r>
      <w:proofErr w:type="gramStart"/>
      <w:r>
        <w:rPr>
          <w:rFonts w:eastAsia="Times New Roman"/>
        </w:rPr>
        <w:t>note</w:t>
      </w:r>
      <w:proofErr w:type="gramEnd"/>
      <w:r w:rsidR="0051361A">
        <w:rPr>
          <w:rFonts w:eastAsia="Times New Roman"/>
        </w:rPr>
        <w:t xml:space="preserve"> the completion</w:t>
      </w:r>
      <w:r w:rsidR="00EF4E80">
        <w:rPr>
          <w:rFonts w:eastAsia="Times New Roman"/>
        </w:rPr>
        <w:t>/</w:t>
      </w:r>
      <w:r w:rsidR="00FF0C5D">
        <w:rPr>
          <w:rFonts w:eastAsia="Times New Roman"/>
        </w:rPr>
        <w:t xml:space="preserve">sharing </w:t>
      </w:r>
      <w:r w:rsidR="00763606">
        <w:rPr>
          <w:rFonts w:eastAsia="Times New Roman"/>
        </w:rPr>
        <w:t xml:space="preserve">of </w:t>
      </w:r>
      <w:r w:rsidR="00B67CC6">
        <w:rPr>
          <w:rFonts w:eastAsia="Times New Roman"/>
        </w:rPr>
        <w:t xml:space="preserve">this </w:t>
      </w:r>
      <w:r w:rsidR="0075742D">
        <w:rPr>
          <w:rFonts w:eastAsia="Times New Roman"/>
        </w:rPr>
        <w:t>information</w:t>
      </w:r>
      <w:r w:rsidR="00763606">
        <w:rPr>
          <w:rFonts w:eastAsia="Times New Roman"/>
        </w:rPr>
        <w:t>.</w:t>
      </w:r>
    </w:p>
    <w:p w14:paraId="140E44DA" w14:textId="77777777" w:rsidR="00191737" w:rsidRDefault="00191737" w:rsidP="00191737">
      <w:pPr>
        <w:pStyle w:val="Heading5"/>
        <w:spacing w:before="120" w:after="120"/>
        <w:rPr>
          <w:rFonts w:ascii="Segoe UI Emoji" w:hAnsi="Segoe UI Emoji" w:cs="Segoe UI Emoji"/>
          <w:b/>
          <w:bCs/>
          <w:sz w:val="36"/>
          <w:szCs w:val="36"/>
        </w:rPr>
      </w:pPr>
    </w:p>
    <w:p w14:paraId="7A932EFA" w14:textId="4173D70F" w:rsidR="00763606" w:rsidRPr="00191737" w:rsidRDefault="00763606" w:rsidP="00191737">
      <w:pPr>
        <w:pStyle w:val="Heading5"/>
        <w:spacing w:before="120" w:after="120"/>
        <w:rPr>
          <w:rStyle w:val="Heading1Char"/>
          <w:rFonts w:ascii="Calibri" w:hAnsi="Calibri" w:cs="Calibri"/>
          <w:b/>
          <w:bCs/>
          <w:i w:val="0"/>
          <w:iCs w:val="0"/>
          <w:color w:val="0070C0"/>
          <w:sz w:val="28"/>
          <w:szCs w:val="28"/>
        </w:rPr>
      </w:pPr>
      <w:r w:rsidRPr="00191737">
        <w:rPr>
          <w:rStyle w:val="Heading1Char"/>
          <w:rFonts w:ascii="Calibri" w:hAnsi="Calibri" w:cs="Calibri"/>
          <w:b/>
          <w:bCs/>
          <w:i w:val="0"/>
          <w:iCs w:val="0"/>
          <w:color w:val="0070C0"/>
          <w:sz w:val="28"/>
          <w:szCs w:val="28"/>
        </w:rPr>
        <w:t>Member Action Items</w:t>
      </w:r>
    </w:p>
    <w:p w14:paraId="7B7E1BF0" w14:textId="357CEE6F" w:rsidR="00763606" w:rsidRDefault="00330BD2" w:rsidP="002C6DBB">
      <w:pPr>
        <w:numPr>
          <w:ilvl w:val="0"/>
          <w:numId w:val="6"/>
        </w:numPr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>To allocate COLA funds, members</w:t>
      </w:r>
      <w:r w:rsidR="00926311">
        <w:rPr>
          <w:rFonts w:eastAsia="Times New Roman"/>
        </w:rPr>
        <w:t>/</w:t>
      </w:r>
      <w:r w:rsidR="000127EE">
        <w:rPr>
          <w:rFonts w:eastAsia="Times New Roman"/>
        </w:rPr>
        <w:t>legal representative</w:t>
      </w:r>
      <w:r w:rsidR="00960CB7">
        <w:rPr>
          <w:rFonts w:eastAsia="Times New Roman"/>
        </w:rPr>
        <w:t>s</w:t>
      </w:r>
      <w:r w:rsidR="000127EE">
        <w:rPr>
          <w:rFonts w:eastAsia="Times New Roman"/>
        </w:rPr>
        <w:t xml:space="preserve"> </w:t>
      </w:r>
      <w:r w:rsidR="00926311">
        <w:rPr>
          <w:rFonts w:eastAsia="Times New Roman"/>
        </w:rPr>
        <w:t>must c</w:t>
      </w:r>
      <w:r w:rsidR="00763606">
        <w:rPr>
          <w:rFonts w:eastAsia="Times New Roman"/>
        </w:rPr>
        <w:t xml:space="preserve">omplete and return a </w:t>
      </w:r>
      <w:r w:rsidR="00763606">
        <w:rPr>
          <w:rFonts w:eastAsia="Times New Roman"/>
          <w:b/>
          <w:bCs/>
        </w:rPr>
        <w:t>signed</w:t>
      </w:r>
      <w:r w:rsidR="00763606">
        <w:rPr>
          <w:rFonts w:eastAsia="Times New Roman"/>
        </w:rPr>
        <w:t xml:space="preserve"> Addendum (</w:t>
      </w:r>
      <w:r w:rsidR="00F3141F">
        <w:rPr>
          <w:rFonts w:eastAsia="Times New Roman"/>
        </w:rPr>
        <w:t>or substitute document)</w:t>
      </w:r>
      <w:r w:rsidR="00763606">
        <w:rPr>
          <w:rFonts w:eastAsia="Times New Roman"/>
        </w:rPr>
        <w:t>.</w:t>
      </w:r>
    </w:p>
    <w:p w14:paraId="71E9E575" w14:textId="58A8EC06" w:rsidR="00763606" w:rsidRDefault="00763606" w:rsidP="002C6DBB">
      <w:pPr>
        <w:numPr>
          <w:ilvl w:val="1"/>
          <w:numId w:val="6"/>
        </w:numPr>
        <w:spacing w:before="120" w:after="120" w:line="240" w:lineRule="auto"/>
        <w:rPr>
          <w:rFonts w:eastAsia="Times New Roman"/>
          <w:b/>
          <w:bCs/>
        </w:rPr>
      </w:pPr>
      <w:r w:rsidRPr="00B67CC6">
        <w:rPr>
          <w:rFonts w:eastAsia="Times New Roman"/>
          <w:b/>
          <w:bCs/>
        </w:rPr>
        <w:t>If</w:t>
      </w:r>
      <w:r w:rsidR="00F3141F">
        <w:rPr>
          <w:rFonts w:eastAsia="Times New Roman"/>
          <w:b/>
          <w:bCs/>
        </w:rPr>
        <w:t xml:space="preserve"> the</w:t>
      </w:r>
      <w:r w:rsidRPr="00B67CC6">
        <w:rPr>
          <w:rFonts w:eastAsia="Times New Roman"/>
          <w:b/>
          <w:bCs/>
        </w:rPr>
        <w:t xml:space="preserve"> </w:t>
      </w:r>
      <w:r w:rsidR="0034107F" w:rsidRPr="00B67CC6">
        <w:rPr>
          <w:rFonts w:eastAsia="Times New Roman"/>
          <w:b/>
          <w:bCs/>
        </w:rPr>
        <w:t>Care Coordinator does not receive the signed/dated a</w:t>
      </w:r>
      <w:r w:rsidRPr="00B67CC6">
        <w:rPr>
          <w:rFonts w:eastAsia="Times New Roman"/>
          <w:b/>
          <w:bCs/>
        </w:rPr>
        <w:t>ddendum</w:t>
      </w:r>
      <w:r w:rsidR="0034107F" w:rsidRPr="00B67CC6">
        <w:rPr>
          <w:rFonts w:eastAsia="Times New Roman"/>
          <w:b/>
          <w:bCs/>
        </w:rPr>
        <w:t xml:space="preserve"> (or substitute document),</w:t>
      </w:r>
      <w:r w:rsidRPr="00B67CC6">
        <w:rPr>
          <w:rFonts w:eastAsia="Times New Roman"/>
          <w:b/>
          <w:bCs/>
        </w:rPr>
        <w:t xml:space="preserve"> COLA funds remain unallocated.</w:t>
      </w:r>
    </w:p>
    <w:p w14:paraId="467D60F7" w14:textId="77777777" w:rsidR="00191737" w:rsidRPr="00B67CC6" w:rsidRDefault="00191737" w:rsidP="00191737">
      <w:pPr>
        <w:spacing w:before="120" w:after="120" w:line="240" w:lineRule="auto"/>
        <w:ind w:left="1080"/>
        <w:rPr>
          <w:rFonts w:eastAsia="Times New Roman"/>
          <w:b/>
          <w:bCs/>
        </w:rPr>
      </w:pPr>
    </w:p>
    <w:p w14:paraId="748764B5" w14:textId="13C118F9" w:rsidR="00763606" w:rsidRPr="00191737" w:rsidRDefault="00763606" w:rsidP="00191737">
      <w:pPr>
        <w:pStyle w:val="Heading5"/>
        <w:spacing w:before="120" w:after="120"/>
        <w:rPr>
          <w:rFonts w:asciiTheme="minorHAnsi" w:hAnsiTheme="minorHAnsi" w:cstheme="minorHAnsi"/>
          <w:b/>
          <w:bCs/>
          <w:i w:val="0"/>
          <w:iCs w:val="0"/>
          <w:color w:val="0070C0"/>
          <w:sz w:val="28"/>
          <w:szCs w:val="28"/>
        </w:rPr>
      </w:pPr>
      <w:bookmarkStart w:id="1" w:name="_✅_Care_Coordinator"/>
      <w:bookmarkEnd w:id="1"/>
      <w:r w:rsidRPr="00191737">
        <w:rPr>
          <w:rStyle w:val="Heading1Char"/>
          <w:rFonts w:asciiTheme="minorHAnsi" w:hAnsiTheme="minorHAnsi" w:cstheme="minorHAnsi"/>
          <w:b/>
          <w:bCs/>
          <w:i w:val="0"/>
          <w:iCs w:val="0"/>
          <w:color w:val="0070C0"/>
          <w:sz w:val="28"/>
          <w:szCs w:val="28"/>
        </w:rPr>
        <w:t>Care Coordinator Action Items Upon Receiving Signed Addendum</w:t>
      </w:r>
    </w:p>
    <w:p w14:paraId="092F5C35" w14:textId="5443578A" w:rsidR="00763606" w:rsidRDefault="00763606" w:rsidP="002C6DBB">
      <w:pPr>
        <w:numPr>
          <w:ilvl w:val="0"/>
          <w:numId w:val="9"/>
        </w:numPr>
        <w:spacing w:before="120" w:after="120" w:line="240" w:lineRule="auto"/>
        <w:rPr>
          <w:rFonts w:eastAsia="Times New Roman"/>
        </w:rPr>
      </w:pPr>
      <w:r>
        <w:rPr>
          <w:rFonts w:eastAsia="Times New Roman"/>
        </w:rPr>
        <w:t>Review</w:t>
      </w:r>
      <w:r w:rsidR="0009263A">
        <w:rPr>
          <w:rFonts w:eastAsia="Times New Roman"/>
        </w:rPr>
        <w:t xml:space="preserve"> the </w:t>
      </w:r>
      <w:r w:rsidR="001831F5">
        <w:rPr>
          <w:rFonts w:eastAsia="Times New Roman"/>
        </w:rPr>
        <w:t xml:space="preserve">completed </w:t>
      </w:r>
      <w:r w:rsidR="0009263A">
        <w:rPr>
          <w:rFonts w:eastAsia="Times New Roman"/>
        </w:rPr>
        <w:t>Addendum</w:t>
      </w:r>
      <w:r>
        <w:rPr>
          <w:rFonts w:eastAsia="Times New Roman"/>
        </w:rPr>
        <w:t xml:space="preserve"> </w:t>
      </w:r>
      <w:r w:rsidR="000127EE">
        <w:rPr>
          <w:rFonts w:eastAsia="Times New Roman"/>
        </w:rPr>
        <w:t>(</w:t>
      </w:r>
      <w:r w:rsidR="00BD3EB8">
        <w:rPr>
          <w:rFonts w:eastAsia="Times New Roman"/>
        </w:rPr>
        <w:t xml:space="preserve">or </w:t>
      </w:r>
      <w:r w:rsidR="000127EE">
        <w:rPr>
          <w:rFonts w:eastAsia="Times New Roman"/>
        </w:rPr>
        <w:t xml:space="preserve">substitute document) </w:t>
      </w:r>
      <w:r w:rsidR="001831F5">
        <w:rPr>
          <w:rFonts w:eastAsia="Times New Roman"/>
        </w:rPr>
        <w:t xml:space="preserve">received from the member </w:t>
      </w:r>
      <w:r>
        <w:rPr>
          <w:rFonts w:eastAsia="Times New Roman"/>
        </w:rPr>
        <w:t>and decide to approve, pend, or deny changes.</w:t>
      </w:r>
      <w:r w:rsidR="00197B1D">
        <w:rPr>
          <w:rFonts w:eastAsia="Times New Roman"/>
        </w:rPr>
        <w:t xml:space="preserve"> </w:t>
      </w:r>
    </w:p>
    <w:p w14:paraId="78F118D2" w14:textId="7F4FFF23" w:rsidR="00763606" w:rsidRDefault="00763606" w:rsidP="002C6DBB">
      <w:pPr>
        <w:numPr>
          <w:ilvl w:val="0"/>
          <w:numId w:val="9"/>
        </w:numPr>
        <w:spacing w:before="120" w:after="120" w:line="240" w:lineRule="auto"/>
        <w:rPr>
          <w:rFonts w:eastAsia="Times New Roman"/>
        </w:rPr>
      </w:pPr>
      <w:r>
        <w:rPr>
          <w:rFonts w:eastAsia="Times New Roman"/>
        </w:rPr>
        <w:t>Communicate decision to the member/legal representative, FMS, and Support Planner</w:t>
      </w:r>
      <w:r w:rsidR="000127EE">
        <w:rPr>
          <w:rFonts w:eastAsia="Times New Roman"/>
        </w:rPr>
        <w:t>,</w:t>
      </w:r>
      <w:r>
        <w:rPr>
          <w:rFonts w:eastAsia="Times New Roman"/>
        </w:rPr>
        <w:t xml:space="preserve"> if applicable.</w:t>
      </w:r>
    </w:p>
    <w:p w14:paraId="545219A3" w14:textId="30F11EC8" w:rsidR="00763606" w:rsidRDefault="00763606" w:rsidP="002C6DBB">
      <w:pPr>
        <w:numPr>
          <w:ilvl w:val="0"/>
          <w:numId w:val="9"/>
        </w:numPr>
        <w:spacing w:before="120" w:after="120" w:line="240" w:lineRule="auto"/>
        <w:rPr>
          <w:rFonts w:eastAsia="Times New Roman"/>
        </w:rPr>
      </w:pPr>
      <w:r>
        <w:rPr>
          <w:rFonts w:eastAsia="Times New Roman"/>
        </w:rPr>
        <w:t>Document</w:t>
      </w:r>
      <w:r w:rsidR="008A4429">
        <w:rPr>
          <w:rFonts w:eastAsia="Times New Roman"/>
        </w:rPr>
        <w:t xml:space="preserve"> decision and notification of decision</w:t>
      </w:r>
      <w:r>
        <w:rPr>
          <w:rFonts w:eastAsia="Times New Roman"/>
        </w:rPr>
        <w:t xml:space="preserve"> in case notes</w:t>
      </w:r>
      <w:r w:rsidR="008A4429">
        <w:rPr>
          <w:rFonts w:eastAsia="Times New Roman"/>
        </w:rPr>
        <w:t>.</w:t>
      </w:r>
    </w:p>
    <w:p w14:paraId="6CAE6B0A" w14:textId="2D36A145" w:rsidR="00763606" w:rsidRDefault="00763606" w:rsidP="002C6DBB">
      <w:pPr>
        <w:numPr>
          <w:ilvl w:val="0"/>
          <w:numId w:val="9"/>
        </w:numPr>
        <w:spacing w:before="120" w:after="120" w:line="240" w:lineRule="auto"/>
        <w:rPr>
          <w:rFonts w:eastAsia="Times New Roman"/>
        </w:rPr>
      </w:pPr>
      <w:r>
        <w:rPr>
          <w:rFonts w:eastAsia="Times New Roman"/>
        </w:rPr>
        <w:t xml:space="preserve">Update T2028 authorization in </w:t>
      </w:r>
      <w:hyperlink r:id="rId12" w:history="1">
        <w:r>
          <w:rPr>
            <w:rStyle w:val="Hyperlink"/>
            <w:rFonts w:eastAsia="Times New Roman"/>
          </w:rPr>
          <w:t>Bridgeview</w:t>
        </w:r>
      </w:hyperlink>
      <w:r>
        <w:rPr>
          <w:rFonts w:eastAsia="Times New Roman"/>
        </w:rPr>
        <w:t xml:space="preserve"> (see section CDCS Legislative Rate Changes for guidance)</w:t>
      </w:r>
      <w:r w:rsidR="008A4429">
        <w:rPr>
          <w:rFonts w:eastAsia="Times New Roman"/>
        </w:rPr>
        <w:t>.</w:t>
      </w:r>
    </w:p>
    <w:p w14:paraId="3B535B49" w14:textId="77777777" w:rsidR="003158AF" w:rsidRDefault="003158AF" w:rsidP="003158AF"/>
    <w:p w14:paraId="0DF60040" w14:textId="2A36A639" w:rsidR="00856EDD" w:rsidRPr="00CE25A3" w:rsidRDefault="00AC252B" w:rsidP="00590299">
      <w:pPr>
        <w:pStyle w:val="Heading4"/>
        <w:rPr>
          <w:rFonts w:asciiTheme="minorHAnsi" w:hAnsiTheme="minorHAnsi" w:cstheme="minorHAnsi"/>
          <w:b/>
          <w:bCs/>
          <w:i w:val="0"/>
          <w:iCs w:val="0"/>
          <w:color w:val="0070C0"/>
          <w:sz w:val="28"/>
          <w:szCs w:val="28"/>
        </w:rPr>
      </w:pPr>
      <w:bookmarkStart w:id="2" w:name="_📅_Example_for"/>
      <w:bookmarkEnd w:id="2"/>
      <w:r w:rsidRPr="00CE25A3">
        <w:rPr>
          <w:rFonts w:asciiTheme="minorHAnsi" w:hAnsiTheme="minorHAnsi" w:cstheme="minorHAnsi"/>
          <w:b/>
          <w:bCs/>
          <w:i w:val="0"/>
          <w:iCs w:val="0"/>
          <w:color w:val="0070C0"/>
          <w:sz w:val="28"/>
          <w:szCs w:val="28"/>
        </w:rPr>
        <w:t>Example</w:t>
      </w:r>
      <w:r w:rsidR="007B7D9E" w:rsidRPr="00CE25A3">
        <w:rPr>
          <w:rFonts w:asciiTheme="minorHAnsi" w:hAnsiTheme="minorHAnsi" w:cstheme="minorHAnsi"/>
          <w:b/>
          <w:bCs/>
          <w:i w:val="0"/>
          <w:iCs w:val="0"/>
          <w:color w:val="0070C0"/>
          <w:sz w:val="28"/>
          <w:szCs w:val="28"/>
        </w:rPr>
        <w:t xml:space="preserve"> </w:t>
      </w:r>
      <w:r w:rsidR="00CE25A3" w:rsidRPr="00CE25A3">
        <w:rPr>
          <w:rFonts w:asciiTheme="minorHAnsi" w:hAnsiTheme="minorHAnsi" w:cstheme="minorHAnsi"/>
          <w:b/>
          <w:bCs/>
          <w:i w:val="0"/>
          <w:iCs w:val="0"/>
          <w:color w:val="0070C0"/>
          <w:sz w:val="28"/>
          <w:szCs w:val="28"/>
        </w:rPr>
        <w:t>of</w:t>
      </w:r>
      <w:r w:rsidR="007B7D9E" w:rsidRPr="00CE25A3">
        <w:rPr>
          <w:rFonts w:asciiTheme="minorHAnsi" w:hAnsiTheme="minorHAnsi" w:cstheme="minorHAnsi"/>
          <w:b/>
          <w:bCs/>
          <w:i w:val="0"/>
          <w:iCs w:val="0"/>
          <w:color w:val="0070C0"/>
          <w:sz w:val="28"/>
          <w:szCs w:val="28"/>
        </w:rPr>
        <w:t xml:space="preserve"> How to Calculate </w:t>
      </w:r>
      <w:r w:rsidR="00A3224E" w:rsidRPr="00CE25A3">
        <w:rPr>
          <w:rFonts w:asciiTheme="minorHAnsi" w:hAnsiTheme="minorHAnsi" w:cstheme="minorHAnsi"/>
          <w:b/>
          <w:bCs/>
          <w:i w:val="0"/>
          <w:iCs w:val="0"/>
          <w:color w:val="0070C0"/>
          <w:sz w:val="28"/>
          <w:szCs w:val="28"/>
        </w:rPr>
        <w:t>Amounts</w:t>
      </w:r>
      <w:r w:rsidR="007B7D9E" w:rsidRPr="00CE25A3">
        <w:rPr>
          <w:rFonts w:asciiTheme="minorHAnsi" w:hAnsiTheme="minorHAnsi" w:cstheme="minorHAnsi"/>
          <w:b/>
          <w:bCs/>
          <w:i w:val="0"/>
          <w:iCs w:val="0"/>
          <w:color w:val="0070C0"/>
          <w:sz w:val="28"/>
          <w:szCs w:val="28"/>
        </w:rPr>
        <w:t xml:space="preserve"> in the </w:t>
      </w:r>
      <w:hyperlink r:id="rId13" w:history="1">
        <w:r w:rsidR="007B7D9E" w:rsidRPr="00CE25A3">
          <w:rPr>
            <w:rStyle w:val="Hyperlink"/>
            <w:rFonts w:asciiTheme="minorHAnsi" w:eastAsia="Times New Roman" w:hAnsiTheme="minorHAnsi" w:cstheme="minorHAnsi"/>
            <w:b/>
            <w:bCs/>
            <w:i w:val="0"/>
            <w:iCs w:val="0"/>
            <w:color w:val="0070C0"/>
            <w:sz w:val="28"/>
            <w:szCs w:val="28"/>
          </w:rPr>
          <w:t>DHS-6633A</w:t>
        </w:r>
      </w:hyperlink>
    </w:p>
    <w:p w14:paraId="2513713A" w14:textId="1B5791BB" w:rsidR="006E38D2" w:rsidRDefault="00CA15D2" w:rsidP="006E38D2">
      <w:pPr>
        <w:pStyle w:val="ListParagraph"/>
        <w:numPr>
          <w:ilvl w:val="0"/>
          <w:numId w:val="11"/>
        </w:numPr>
      </w:pPr>
      <w:r>
        <w:t xml:space="preserve">In this example, the </w:t>
      </w:r>
      <w:r w:rsidR="006E38D2">
        <w:t>CDCS span</w:t>
      </w:r>
      <w:r>
        <w:t xml:space="preserve"> is from</w:t>
      </w:r>
      <w:r w:rsidR="006E38D2">
        <w:t>: March 1, 2025 – February 28, 2026 (12 months total).</w:t>
      </w:r>
    </w:p>
    <w:p w14:paraId="7CF25721" w14:textId="74D097E1" w:rsidR="009472AC" w:rsidRDefault="00683F56" w:rsidP="009472AC">
      <w:pPr>
        <w:pStyle w:val="ListParagraph"/>
        <w:numPr>
          <w:ilvl w:val="1"/>
          <w:numId w:val="11"/>
        </w:numPr>
      </w:pPr>
      <w:r>
        <w:t>If you need assistance calculating a span</w:t>
      </w:r>
      <w:r w:rsidR="009472AC">
        <w:t>, please reach out to</w:t>
      </w:r>
      <w:r w:rsidR="00D32A97">
        <w:t xml:space="preserve"> </w:t>
      </w:r>
      <w:hyperlink r:id="rId14" w:history="1">
        <w:r w:rsidR="00D32A97" w:rsidRPr="00D32A97">
          <w:rPr>
            <w:rStyle w:val="Hyperlink"/>
          </w:rPr>
          <w:t>Partner.Relations@bluecrossmn.com</w:t>
        </w:r>
      </w:hyperlink>
      <w:r w:rsidR="009472AC">
        <w:t>.</w:t>
      </w:r>
    </w:p>
    <w:p w14:paraId="75EB918A" w14:textId="77777777" w:rsidR="006E38D2" w:rsidRDefault="006E38D2" w:rsidP="006E38D2">
      <w:pPr>
        <w:pStyle w:val="ListParagraph"/>
        <w:numPr>
          <w:ilvl w:val="0"/>
          <w:numId w:val="11"/>
        </w:numPr>
      </w:pPr>
      <w:r>
        <w:t>Case Mix E rates:</w:t>
      </w:r>
    </w:p>
    <w:p w14:paraId="693B424F" w14:textId="77777777" w:rsidR="006E38D2" w:rsidRDefault="006E38D2" w:rsidP="006E38D2">
      <w:pPr>
        <w:pStyle w:val="ListParagraph"/>
        <w:numPr>
          <w:ilvl w:val="1"/>
          <w:numId w:val="11"/>
        </w:numPr>
      </w:pPr>
      <w:r>
        <w:t>2025: $8,837 per month</w:t>
      </w:r>
    </w:p>
    <w:p w14:paraId="6CC6FF04" w14:textId="3D213D86" w:rsidR="00590299" w:rsidRPr="00590299" w:rsidRDefault="006E38D2" w:rsidP="00590299">
      <w:pPr>
        <w:pStyle w:val="ListParagraph"/>
        <w:numPr>
          <w:ilvl w:val="1"/>
          <w:numId w:val="11"/>
        </w:numPr>
      </w:pPr>
      <w:r>
        <w:t>2026: $9,369 per month</w:t>
      </w:r>
    </w:p>
    <w:p w14:paraId="539223BE" w14:textId="4F74AFA3" w:rsidR="00A3224E" w:rsidRPr="00A3224E" w:rsidRDefault="00D32A97" w:rsidP="00CE25A3">
      <w:pPr>
        <w:jc w:val="center"/>
      </w:pPr>
      <w:r>
        <w:rPr>
          <w:noProof/>
        </w:rPr>
        <w:drawing>
          <wp:inline distT="0" distB="0" distL="0" distR="0" wp14:anchorId="6AC983BE" wp14:editId="17E91D30">
            <wp:extent cx="5252435" cy="1996898"/>
            <wp:effectExtent l="133350" t="95250" r="139065" b="99060"/>
            <wp:docPr id="79427288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72880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513" cy="199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B4A2C8" w14:textId="6BF0E840" w:rsidR="00921EDB" w:rsidRDefault="00856EDD" w:rsidP="00CE25A3">
      <w:pPr>
        <w:spacing w:before="120" w:after="120" w:line="240" w:lineRule="auto"/>
      </w:pPr>
      <w:r>
        <w:lastRenderedPageBreak/>
        <w:t xml:space="preserve">1. </w:t>
      </w:r>
      <w:r w:rsidR="00787FC1" w:rsidRPr="00921EDB">
        <w:rPr>
          <w:i/>
          <w:iCs/>
        </w:rPr>
        <w:t>PREVIOUS CDCS AUTHORIZED BUDGET AMOUNT</w:t>
      </w:r>
      <w:r w:rsidR="00787FC1">
        <w:rPr>
          <w:i/>
          <w:iCs/>
        </w:rPr>
        <w:t xml:space="preserve"> ($)</w:t>
      </w:r>
      <w:r w:rsidR="00787FC1">
        <w:t xml:space="preserve"> </w:t>
      </w:r>
      <w:r>
        <w:t>(Pre-COLA)</w:t>
      </w:r>
    </w:p>
    <w:p w14:paraId="5E2AA268" w14:textId="77777777" w:rsidR="00702195" w:rsidRDefault="00856EDD" w:rsidP="00CE25A3">
      <w:pPr>
        <w:pStyle w:val="ListParagraph"/>
        <w:numPr>
          <w:ilvl w:val="0"/>
          <w:numId w:val="18"/>
        </w:numPr>
        <w:spacing w:before="120" w:after="120" w:line="240" w:lineRule="auto"/>
      </w:pPr>
      <w:r>
        <w:t>This is simply the entire span calculated at the 2025 rate, ignoring any increases.</w:t>
      </w:r>
    </w:p>
    <w:p w14:paraId="18F9DE0E" w14:textId="2F621D20" w:rsidR="009472AC" w:rsidRPr="00CE25A3" w:rsidRDefault="00085FD3" w:rsidP="00CE25A3">
      <w:pPr>
        <w:pStyle w:val="ListParagraph"/>
        <w:numPr>
          <w:ilvl w:val="0"/>
          <w:numId w:val="19"/>
        </w:numPr>
        <w:spacing w:before="120" w:after="120" w:line="240" w:lineRule="auto"/>
        <w:rPr>
          <w:b/>
          <w:bCs/>
        </w:rPr>
      </w:pPr>
      <w:r>
        <w:t xml:space="preserve">12 </w:t>
      </w:r>
      <w:r w:rsidR="00A36B16">
        <w:t>m</w:t>
      </w:r>
      <w:r w:rsidR="00856EDD">
        <w:t xml:space="preserve">onths × $8,837 = </w:t>
      </w:r>
      <w:r w:rsidR="00856EDD" w:rsidRPr="00CE25A3">
        <w:rPr>
          <w:b/>
          <w:bCs/>
        </w:rPr>
        <w:t>$106,044</w:t>
      </w:r>
    </w:p>
    <w:p w14:paraId="4D7381BF" w14:textId="47A08EBD" w:rsidR="00DC2CB1" w:rsidRDefault="00787FC1" w:rsidP="006F107E">
      <w:pPr>
        <w:pStyle w:val="ListParagraph"/>
        <w:numPr>
          <w:ilvl w:val="0"/>
          <w:numId w:val="6"/>
        </w:numPr>
        <w:spacing w:before="120" w:after="120" w:line="240" w:lineRule="auto"/>
        <w:rPr>
          <w:i/>
          <w:iCs/>
        </w:rPr>
      </w:pPr>
      <w:r w:rsidRPr="00DC2CB1">
        <w:rPr>
          <w:i/>
          <w:iCs/>
        </w:rPr>
        <w:t xml:space="preserve">CDCS AUTHORIZED BUDGET AMOUNT WITH APPLICABLE RATE </w:t>
      </w:r>
      <w:proofErr w:type="gramStart"/>
      <w:r w:rsidRPr="00DC2CB1">
        <w:rPr>
          <w:i/>
          <w:iCs/>
        </w:rPr>
        <w:t>INCREASE</w:t>
      </w:r>
      <w:r>
        <w:rPr>
          <w:i/>
          <w:iCs/>
        </w:rPr>
        <w:t>(</w:t>
      </w:r>
      <w:proofErr w:type="gramEnd"/>
      <w:r>
        <w:rPr>
          <w:i/>
          <w:iCs/>
        </w:rPr>
        <w:t>$)</w:t>
      </w:r>
    </w:p>
    <w:p w14:paraId="069431DD" w14:textId="77777777" w:rsidR="00DC2CB1" w:rsidRPr="00DC2CB1" w:rsidRDefault="00856EDD" w:rsidP="006F107E">
      <w:pPr>
        <w:pStyle w:val="ListParagraph"/>
        <w:numPr>
          <w:ilvl w:val="0"/>
          <w:numId w:val="14"/>
        </w:numPr>
        <w:spacing w:before="120" w:after="120" w:line="240" w:lineRule="auto"/>
        <w:rPr>
          <w:i/>
          <w:iCs/>
        </w:rPr>
      </w:pPr>
      <w:r>
        <w:t>Here, you split the span into two parts (2025 months vs. 2026 months) and apply the correct rate for each:</w:t>
      </w:r>
    </w:p>
    <w:p w14:paraId="3182F6C1" w14:textId="77777777" w:rsidR="00DC2CB1" w:rsidRDefault="00856EDD" w:rsidP="006F107E">
      <w:pPr>
        <w:pStyle w:val="ListParagraph"/>
        <w:numPr>
          <w:ilvl w:val="0"/>
          <w:numId w:val="15"/>
        </w:numPr>
        <w:spacing w:before="120" w:after="120" w:line="240" w:lineRule="auto"/>
      </w:pPr>
      <w:r>
        <w:t>2025 portion:</w:t>
      </w:r>
      <w:r w:rsidR="00085FD3">
        <w:t xml:space="preserve"> </w:t>
      </w:r>
      <w:r>
        <w:t>March–December = 10 months × $8,837 = $88,370</w:t>
      </w:r>
    </w:p>
    <w:p w14:paraId="22DF73F7" w14:textId="086BFAD8" w:rsidR="00085FD3" w:rsidRPr="00DC2CB1" w:rsidRDefault="00856EDD" w:rsidP="006F107E">
      <w:pPr>
        <w:pStyle w:val="ListParagraph"/>
        <w:numPr>
          <w:ilvl w:val="0"/>
          <w:numId w:val="15"/>
        </w:numPr>
        <w:spacing w:before="120" w:after="120" w:line="240" w:lineRule="auto"/>
        <w:rPr>
          <w:i/>
          <w:iCs/>
        </w:rPr>
      </w:pPr>
      <w:r>
        <w:t>2026 portion:</w:t>
      </w:r>
      <w:r w:rsidR="00085FD3">
        <w:t xml:space="preserve"> </w:t>
      </w:r>
      <w:r>
        <w:t>January–February = 2 months × $9,369 = $18,738</w:t>
      </w:r>
    </w:p>
    <w:p w14:paraId="695DB5FF" w14:textId="1DD5308C" w:rsidR="00856EDD" w:rsidRDefault="00856EDD" w:rsidP="006F107E">
      <w:pPr>
        <w:pStyle w:val="ListParagraph"/>
        <w:numPr>
          <w:ilvl w:val="0"/>
          <w:numId w:val="15"/>
        </w:numPr>
        <w:spacing w:before="120" w:after="120" w:line="240" w:lineRule="auto"/>
      </w:pPr>
      <w:r>
        <w:t xml:space="preserve">Total </w:t>
      </w:r>
      <w:r w:rsidR="00DC2CB1">
        <w:t>including</w:t>
      </w:r>
      <w:r>
        <w:t xml:space="preserve"> rate increase:</w:t>
      </w:r>
      <w:r w:rsidR="00085FD3">
        <w:t xml:space="preserve"> </w:t>
      </w:r>
      <w:r>
        <w:t xml:space="preserve">$88,370 + $18,738 = </w:t>
      </w:r>
      <w:r w:rsidRPr="00EF22C4">
        <w:rPr>
          <w:b/>
          <w:bCs/>
        </w:rPr>
        <w:t>$107,108</w:t>
      </w:r>
    </w:p>
    <w:p w14:paraId="5CF70DE7" w14:textId="0EF4ADF7" w:rsidR="00882BE3" w:rsidRDefault="00787FC1" w:rsidP="006F107E">
      <w:pPr>
        <w:pStyle w:val="ListParagraph"/>
        <w:numPr>
          <w:ilvl w:val="0"/>
          <w:numId w:val="6"/>
        </w:numPr>
        <w:spacing w:before="120" w:after="120" w:line="240" w:lineRule="auto"/>
        <w:rPr>
          <w:i/>
          <w:iCs/>
        </w:rPr>
      </w:pPr>
      <w:r w:rsidRPr="00DC2CB1">
        <w:rPr>
          <w:i/>
          <w:iCs/>
        </w:rPr>
        <w:t>AMOUNT CHANGE</w:t>
      </w:r>
      <w:r>
        <w:rPr>
          <w:i/>
          <w:iCs/>
        </w:rPr>
        <w:t xml:space="preserve"> ($)</w:t>
      </w:r>
    </w:p>
    <w:p w14:paraId="45DDB963" w14:textId="5C7B79D3" w:rsidR="00B62874" w:rsidRPr="00115B0A" w:rsidRDefault="00882BE3" w:rsidP="006F107E">
      <w:pPr>
        <w:pStyle w:val="ListParagraph"/>
        <w:numPr>
          <w:ilvl w:val="1"/>
          <w:numId w:val="6"/>
        </w:numPr>
        <w:spacing w:before="120" w:after="120" w:line="240" w:lineRule="auto"/>
        <w:rPr>
          <w:i/>
          <w:iCs/>
        </w:rPr>
      </w:pPr>
      <w:r>
        <w:t>The difference between t</w:t>
      </w:r>
      <w:r w:rsidR="00856EDD">
        <w:t xml:space="preserve">he adjusted budget </w:t>
      </w:r>
      <w:r w:rsidR="00057127">
        <w:t>and</w:t>
      </w:r>
      <w:r w:rsidR="00856EDD">
        <w:t xml:space="preserve"> the pre-COLA budget:</w:t>
      </w:r>
      <w:r w:rsidR="002E3E72">
        <w:t xml:space="preserve"> </w:t>
      </w:r>
      <w:r w:rsidR="00856EDD">
        <w:t xml:space="preserve">$107,108 − $106,044 = </w:t>
      </w:r>
      <w:r w:rsidR="00856EDD" w:rsidRPr="00EF22C4">
        <w:rPr>
          <w:b/>
          <w:bCs/>
        </w:rPr>
        <w:t>$1,064</w:t>
      </w:r>
    </w:p>
    <w:sectPr w:rsidR="00B62874" w:rsidRPr="00115B0A" w:rsidSect="00EF1BF9">
      <w:headerReference w:type="default" r:id="rId16"/>
      <w:footerReference w:type="default" r:id="rId17"/>
      <w:pgSz w:w="12240" w:h="15840"/>
      <w:pgMar w:top="720" w:right="720" w:bottom="720" w:left="72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FE75" w14:textId="77777777" w:rsidR="00175071" w:rsidRDefault="00175071" w:rsidP="00BB1FFD">
      <w:pPr>
        <w:spacing w:after="0" w:line="240" w:lineRule="auto"/>
      </w:pPr>
      <w:r>
        <w:separator/>
      </w:r>
    </w:p>
  </w:endnote>
  <w:endnote w:type="continuationSeparator" w:id="0">
    <w:p w14:paraId="77A91E71" w14:textId="77777777" w:rsidR="00175071" w:rsidRDefault="00175071" w:rsidP="00BB1FFD">
      <w:pPr>
        <w:spacing w:after="0" w:line="240" w:lineRule="auto"/>
      </w:pPr>
      <w:r>
        <w:continuationSeparator/>
      </w:r>
    </w:p>
  </w:endnote>
  <w:endnote w:type="continuationNotice" w:id="1">
    <w:p w14:paraId="17FFE91F" w14:textId="77777777" w:rsidR="00175071" w:rsidRDefault="00175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6F21" w14:textId="045F47DD" w:rsidR="0086469F" w:rsidRPr="0056608B" w:rsidRDefault="0086469F">
    <w:pPr>
      <w:pStyle w:val="Footer"/>
      <w:rPr>
        <w:i/>
        <w:iCs/>
        <w:sz w:val="20"/>
        <w:szCs w:val="20"/>
      </w:rPr>
    </w:pPr>
    <w:r w:rsidRPr="0056608B">
      <w:rPr>
        <w:i/>
        <w:iCs/>
        <w:sz w:val="20"/>
        <w:szCs w:val="20"/>
      </w:rPr>
      <w:t>Co</w:t>
    </w:r>
    <w:r w:rsidR="009B7F36" w:rsidRPr="0056608B">
      <w:rPr>
        <w:i/>
        <w:iCs/>
        <w:sz w:val="20"/>
        <w:szCs w:val="20"/>
      </w:rPr>
      <w:t>m</w:t>
    </w:r>
    <w:r w:rsidR="0056608B" w:rsidRPr="0056608B">
      <w:rPr>
        <w:i/>
        <w:iCs/>
        <w:sz w:val="20"/>
        <w:szCs w:val="20"/>
      </w:rPr>
      <w:t xml:space="preserve">munications </w:t>
    </w:r>
    <w:r w:rsidR="009B7F36" w:rsidRPr="0056608B">
      <w:rPr>
        <w:i/>
        <w:iCs/>
        <w:sz w:val="20"/>
        <w:szCs w:val="20"/>
      </w:rPr>
      <w:t>are</w:t>
    </w:r>
    <w:r w:rsidRPr="0056608B">
      <w:rPr>
        <w:i/>
        <w:iCs/>
        <w:sz w:val="20"/>
        <w:szCs w:val="20"/>
      </w:rPr>
      <w:t xml:space="preserve"> </w:t>
    </w:r>
    <w:r w:rsidR="0056608B" w:rsidRPr="0056608B">
      <w:rPr>
        <w:i/>
        <w:iCs/>
        <w:color w:val="000000" w:themeColor="text1"/>
        <w:sz w:val="20"/>
        <w:szCs w:val="20"/>
      </w:rPr>
      <w:t>quick notifications sent via email to share information such as training opportunities, Bridgeview web issues, service area specific pilots and/or initiatives. Communications are not posted on the Care Coordination website.</w:t>
    </w:r>
  </w:p>
  <w:p w14:paraId="0F0B8CB4" w14:textId="77777777" w:rsidR="0086469F" w:rsidRDefault="0086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FF84" w14:textId="77777777" w:rsidR="00175071" w:rsidRDefault="00175071" w:rsidP="00BB1FFD">
      <w:pPr>
        <w:spacing w:after="0" w:line="240" w:lineRule="auto"/>
      </w:pPr>
      <w:r>
        <w:separator/>
      </w:r>
    </w:p>
  </w:footnote>
  <w:footnote w:type="continuationSeparator" w:id="0">
    <w:p w14:paraId="3842E2EF" w14:textId="77777777" w:rsidR="00175071" w:rsidRDefault="00175071" w:rsidP="00BB1FFD">
      <w:pPr>
        <w:spacing w:after="0" w:line="240" w:lineRule="auto"/>
      </w:pPr>
      <w:r>
        <w:continuationSeparator/>
      </w:r>
    </w:p>
  </w:footnote>
  <w:footnote w:type="continuationNotice" w:id="1">
    <w:p w14:paraId="602E4246" w14:textId="77777777" w:rsidR="00175071" w:rsidRDefault="00175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801F" w14:textId="615F170D" w:rsidR="00AF1D04" w:rsidRDefault="00B124E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358D35" wp14:editId="10D461E1">
              <wp:simplePos x="0" y="0"/>
              <wp:positionH relativeFrom="margin">
                <wp:posOffset>329952</wp:posOffset>
              </wp:positionH>
              <wp:positionV relativeFrom="paragraph">
                <wp:posOffset>-692150</wp:posOffset>
              </wp:positionV>
              <wp:extent cx="4142105" cy="914400"/>
              <wp:effectExtent l="0" t="0" r="0" b="0"/>
              <wp:wrapSquare wrapText="bothSides"/>
              <wp:docPr id="1858126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210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4A7A" w14:textId="30E6E28D" w:rsidR="006B5D91" w:rsidRPr="000E65FF" w:rsidRDefault="006B5D91" w:rsidP="006B5D91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0E65FF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Blue Plus C</w:t>
                          </w:r>
                          <w:r w:rsidR="005C4385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omm</w:t>
                          </w:r>
                          <w:r w:rsidR="00DC4B6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uni</w:t>
                          </w:r>
                          <w:r w:rsidR="00827299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que</w:t>
                          </w:r>
                        </w:p>
                        <w:p w14:paraId="3E533087" w14:textId="428E8B61" w:rsidR="00AF1D04" w:rsidRDefault="00E243AF" w:rsidP="00AF1D04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12-17-2025</w:t>
                          </w:r>
                        </w:p>
                        <w:p w14:paraId="395E5E01" w14:textId="77777777" w:rsidR="00E243AF" w:rsidRPr="00AF1D04" w:rsidRDefault="00E243AF" w:rsidP="00AF1D04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7358D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pt;margin-top:-54.5pt;width:326.15pt;height:1in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" filled="f" stroked="f">
              <v:textbox>
                <w:txbxContent>
                  <w:p w14:paraId="4D314A7A" w14:textId="30E6E28D" w:rsidR="006B5D91" w:rsidRPr="000E65FF" w:rsidRDefault="006B5D91" w:rsidP="006B5D91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0E65FF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Blue Plus C</w:t>
                    </w:r>
                    <w:r w:rsidR="005C4385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omm</w:t>
                    </w:r>
                    <w:r w:rsidR="00DC4B6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uni</w:t>
                    </w:r>
                    <w:r w:rsidR="00827299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que</w:t>
                    </w:r>
                  </w:p>
                  <w:p w14:paraId="3E533087" w14:textId="428E8B61" w:rsidR="00AF1D04" w:rsidRDefault="00E243AF" w:rsidP="00AF1D04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12-17-2025</w:t>
                    </w:r>
                  </w:p>
                  <w:p w14:paraId="395E5E01" w14:textId="77777777" w:rsidR="00E243AF" w:rsidRPr="00AF1D04" w:rsidRDefault="00E243AF" w:rsidP="00AF1D04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7655A">
      <w:rPr>
        <w:noProof/>
      </w:rPr>
      <w:drawing>
        <wp:anchor distT="0" distB="0" distL="114300" distR="114300" simplePos="0" relativeHeight="251658240" behindDoc="1" locked="0" layoutInCell="1" allowOverlap="1" wp14:anchorId="694BD564" wp14:editId="2DD1E9F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048875" cy="1228725"/>
          <wp:effectExtent l="0" t="0" r="9525" b="9525"/>
          <wp:wrapNone/>
          <wp:docPr id="6" name="Picture 6" descr="highlight chart header_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ighlight chart header_5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8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F9D84" w14:textId="0AAA33D7" w:rsidR="00AF1D04" w:rsidRDefault="00AF1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EBD"/>
    <w:multiLevelType w:val="multilevel"/>
    <w:tmpl w:val="969C8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Bid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0FA758B"/>
    <w:multiLevelType w:val="hybridMultilevel"/>
    <w:tmpl w:val="6CB00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F117D"/>
    <w:multiLevelType w:val="multilevel"/>
    <w:tmpl w:val="59C691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758CF"/>
    <w:multiLevelType w:val="multilevel"/>
    <w:tmpl w:val="A808E3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954A3"/>
    <w:multiLevelType w:val="hybridMultilevel"/>
    <w:tmpl w:val="B11C1FB0"/>
    <w:lvl w:ilvl="0" w:tplc="F856ACB8">
      <w:start w:val="10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ADA4A78"/>
    <w:multiLevelType w:val="multilevel"/>
    <w:tmpl w:val="FE523E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34AF0"/>
    <w:multiLevelType w:val="multilevel"/>
    <w:tmpl w:val="02443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E834326"/>
    <w:multiLevelType w:val="multilevel"/>
    <w:tmpl w:val="F1061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8254DB7"/>
    <w:multiLevelType w:val="hybridMultilevel"/>
    <w:tmpl w:val="5E4A943C"/>
    <w:lvl w:ilvl="0" w:tplc="BB5C5DB4">
      <w:start w:val="1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E237B2"/>
    <w:multiLevelType w:val="multilevel"/>
    <w:tmpl w:val="D0C21C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70F8D"/>
    <w:multiLevelType w:val="multilevel"/>
    <w:tmpl w:val="693461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50501"/>
    <w:multiLevelType w:val="hybridMultilevel"/>
    <w:tmpl w:val="D45A08C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4C86E96"/>
    <w:multiLevelType w:val="hybridMultilevel"/>
    <w:tmpl w:val="8E04D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69B5371"/>
    <w:multiLevelType w:val="hybridMultilevel"/>
    <w:tmpl w:val="C75CBE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192069"/>
    <w:multiLevelType w:val="hybridMultilevel"/>
    <w:tmpl w:val="2B0A6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DD2EA1"/>
    <w:multiLevelType w:val="hybridMultilevel"/>
    <w:tmpl w:val="0854DA56"/>
    <w:lvl w:ilvl="0" w:tplc="CF2ECDAC">
      <w:start w:val="1"/>
      <w:numFmt w:val="decimal"/>
      <w:lvlText w:val="%1."/>
      <w:lvlJc w:val="left"/>
      <w:pPr>
        <w:ind w:left="2520" w:hanging="360"/>
      </w:pPr>
    </w:lvl>
    <w:lvl w:ilvl="1" w:tplc="B42C9702">
      <w:start w:val="1"/>
      <w:numFmt w:val="decimal"/>
      <w:lvlText w:val="%2."/>
      <w:lvlJc w:val="left"/>
      <w:pPr>
        <w:ind w:left="2520" w:hanging="360"/>
      </w:pPr>
    </w:lvl>
    <w:lvl w:ilvl="2" w:tplc="98D25020">
      <w:start w:val="1"/>
      <w:numFmt w:val="decimal"/>
      <w:lvlText w:val="%3."/>
      <w:lvlJc w:val="left"/>
      <w:pPr>
        <w:ind w:left="2520" w:hanging="360"/>
      </w:pPr>
    </w:lvl>
    <w:lvl w:ilvl="3" w:tplc="2E026750">
      <w:start w:val="1"/>
      <w:numFmt w:val="decimal"/>
      <w:lvlText w:val="%4."/>
      <w:lvlJc w:val="left"/>
      <w:pPr>
        <w:ind w:left="2520" w:hanging="360"/>
      </w:pPr>
    </w:lvl>
    <w:lvl w:ilvl="4" w:tplc="04E40540">
      <w:start w:val="1"/>
      <w:numFmt w:val="decimal"/>
      <w:lvlText w:val="%5."/>
      <w:lvlJc w:val="left"/>
      <w:pPr>
        <w:ind w:left="2520" w:hanging="360"/>
      </w:pPr>
    </w:lvl>
    <w:lvl w:ilvl="5" w:tplc="A14C649E">
      <w:start w:val="1"/>
      <w:numFmt w:val="decimal"/>
      <w:lvlText w:val="%6."/>
      <w:lvlJc w:val="left"/>
      <w:pPr>
        <w:ind w:left="2520" w:hanging="360"/>
      </w:pPr>
    </w:lvl>
    <w:lvl w:ilvl="6" w:tplc="6770AB54">
      <w:start w:val="1"/>
      <w:numFmt w:val="decimal"/>
      <w:lvlText w:val="%7."/>
      <w:lvlJc w:val="left"/>
      <w:pPr>
        <w:ind w:left="2520" w:hanging="360"/>
      </w:pPr>
    </w:lvl>
    <w:lvl w:ilvl="7" w:tplc="596A8BC6">
      <w:start w:val="1"/>
      <w:numFmt w:val="decimal"/>
      <w:lvlText w:val="%8."/>
      <w:lvlJc w:val="left"/>
      <w:pPr>
        <w:ind w:left="2520" w:hanging="360"/>
      </w:pPr>
    </w:lvl>
    <w:lvl w:ilvl="8" w:tplc="8AEC00D4">
      <w:start w:val="1"/>
      <w:numFmt w:val="decimal"/>
      <w:lvlText w:val="%9."/>
      <w:lvlJc w:val="left"/>
      <w:pPr>
        <w:ind w:left="2520" w:hanging="360"/>
      </w:pPr>
    </w:lvl>
  </w:abstractNum>
  <w:abstractNum w:abstractNumId="16" w15:restartNumberingAfterBreak="0">
    <w:nsid w:val="653E3841"/>
    <w:multiLevelType w:val="multilevel"/>
    <w:tmpl w:val="53A2DC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8581D"/>
    <w:multiLevelType w:val="hybridMultilevel"/>
    <w:tmpl w:val="9B70AE26"/>
    <w:lvl w:ilvl="0" w:tplc="04090003">
      <w:start w:val="1"/>
      <w:numFmt w:val="bullet"/>
      <w:lvlText w:val="o"/>
      <w:lvlJc w:val="left"/>
      <w:pPr>
        <w:ind w:left="-5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8" w15:restartNumberingAfterBreak="0">
    <w:nsid w:val="6F0E39C9"/>
    <w:multiLevelType w:val="hybridMultilevel"/>
    <w:tmpl w:val="0AFE33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024486">
    <w:abstractNumId w:val="16"/>
  </w:num>
  <w:num w:numId="2" w16cid:durableId="2092391123">
    <w:abstractNumId w:val="3"/>
  </w:num>
  <w:num w:numId="3" w16cid:durableId="1576011976">
    <w:abstractNumId w:val="10"/>
  </w:num>
  <w:num w:numId="4" w16cid:durableId="1103526475">
    <w:abstractNumId w:val="9"/>
  </w:num>
  <w:num w:numId="5" w16cid:durableId="266038656">
    <w:abstractNumId w:val="7"/>
  </w:num>
  <w:num w:numId="6" w16cid:durableId="5355007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0528828">
    <w:abstractNumId w:val="2"/>
  </w:num>
  <w:num w:numId="8" w16cid:durableId="1059862819">
    <w:abstractNumId w:val="12"/>
  </w:num>
  <w:num w:numId="9" w16cid:durableId="240413928">
    <w:abstractNumId w:val="0"/>
  </w:num>
  <w:num w:numId="10" w16cid:durableId="1164390576">
    <w:abstractNumId w:val="4"/>
  </w:num>
  <w:num w:numId="11" w16cid:durableId="1462112419">
    <w:abstractNumId w:val="14"/>
  </w:num>
  <w:num w:numId="12" w16cid:durableId="1704331770">
    <w:abstractNumId w:val="8"/>
  </w:num>
  <w:num w:numId="13" w16cid:durableId="898319099">
    <w:abstractNumId w:val="17"/>
  </w:num>
  <w:num w:numId="14" w16cid:durableId="52774585">
    <w:abstractNumId w:val="18"/>
  </w:num>
  <w:num w:numId="15" w16cid:durableId="1947536092">
    <w:abstractNumId w:val="11"/>
  </w:num>
  <w:num w:numId="16" w16cid:durableId="1311131736">
    <w:abstractNumId w:val="1"/>
  </w:num>
  <w:num w:numId="17" w16cid:durableId="370230310">
    <w:abstractNumId w:val="15"/>
  </w:num>
  <w:num w:numId="18" w16cid:durableId="679968533">
    <w:abstractNumId w:val="5"/>
  </w:num>
  <w:num w:numId="19" w16cid:durableId="111177774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A"/>
    <w:rsid w:val="0000082A"/>
    <w:rsid w:val="000127EE"/>
    <w:rsid w:val="000146C5"/>
    <w:rsid w:val="00017D6E"/>
    <w:rsid w:val="00025A55"/>
    <w:rsid w:val="000274AF"/>
    <w:rsid w:val="0003181B"/>
    <w:rsid w:val="00031A2D"/>
    <w:rsid w:val="00032C50"/>
    <w:rsid w:val="000330CD"/>
    <w:rsid w:val="00033105"/>
    <w:rsid w:val="000340F7"/>
    <w:rsid w:val="00035DCD"/>
    <w:rsid w:val="00040412"/>
    <w:rsid w:val="000426AA"/>
    <w:rsid w:val="000427C6"/>
    <w:rsid w:val="000441F2"/>
    <w:rsid w:val="0005009B"/>
    <w:rsid w:val="00050588"/>
    <w:rsid w:val="00052739"/>
    <w:rsid w:val="00054ED7"/>
    <w:rsid w:val="00057127"/>
    <w:rsid w:val="00063EEA"/>
    <w:rsid w:val="00064372"/>
    <w:rsid w:val="00064886"/>
    <w:rsid w:val="00064FDB"/>
    <w:rsid w:val="00066147"/>
    <w:rsid w:val="000673E7"/>
    <w:rsid w:val="00085B1D"/>
    <w:rsid w:val="00085FD3"/>
    <w:rsid w:val="0009263A"/>
    <w:rsid w:val="00095CEA"/>
    <w:rsid w:val="000A446C"/>
    <w:rsid w:val="000A51E6"/>
    <w:rsid w:val="000A5D07"/>
    <w:rsid w:val="000B3048"/>
    <w:rsid w:val="000B37ED"/>
    <w:rsid w:val="000B3E7D"/>
    <w:rsid w:val="000B4EB3"/>
    <w:rsid w:val="000B55AF"/>
    <w:rsid w:val="000C05F6"/>
    <w:rsid w:val="000C1543"/>
    <w:rsid w:val="000C2585"/>
    <w:rsid w:val="000C2E61"/>
    <w:rsid w:val="000C7F0F"/>
    <w:rsid w:val="000D20F7"/>
    <w:rsid w:val="000D26FC"/>
    <w:rsid w:val="000F0C07"/>
    <w:rsid w:val="000F12B4"/>
    <w:rsid w:val="000F52B2"/>
    <w:rsid w:val="00100733"/>
    <w:rsid w:val="00101EAA"/>
    <w:rsid w:val="00105287"/>
    <w:rsid w:val="00115B0A"/>
    <w:rsid w:val="001226E7"/>
    <w:rsid w:val="00124414"/>
    <w:rsid w:val="00131627"/>
    <w:rsid w:val="001377AB"/>
    <w:rsid w:val="00146993"/>
    <w:rsid w:val="00150443"/>
    <w:rsid w:val="001507B4"/>
    <w:rsid w:val="001548FB"/>
    <w:rsid w:val="001556A0"/>
    <w:rsid w:val="00156EEA"/>
    <w:rsid w:val="00163839"/>
    <w:rsid w:val="00167D77"/>
    <w:rsid w:val="00174F3D"/>
    <w:rsid w:val="00175071"/>
    <w:rsid w:val="0017569A"/>
    <w:rsid w:val="001759D1"/>
    <w:rsid w:val="0017655A"/>
    <w:rsid w:val="00177274"/>
    <w:rsid w:val="001831F5"/>
    <w:rsid w:val="00184690"/>
    <w:rsid w:val="0018650C"/>
    <w:rsid w:val="00191737"/>
    <w:rsid w:val="00193B50"/>
    <w:rsid w:val="00197B1D"/>
    <w:rsid w:val="001A1754"/>
    <w:rsid w:val="001A2E3C"/>
    <w:rsid w:val="001A477F"/>
    <w:rsid w:val="001A6B97"/>
    <w:rsid w:val="001B50D7"/>
    <w:rsid w:val="001B58DF"/>
    <w:rsid w:val="001C0082"/>
    <w:rsid w:val="001C0316"/>
    <w:rsid w:val="001C3190"/>
    <w:rsid w:val="001D2782"/>
    <w:rsid w:val="001D710E"/>
    <w:rsid w:val="001E1085"/>
    <w:rsid w:val="001F16DF"/>
    <w:rsid w:val="001F613E"/>
    <w:rsid w:val="001F79CB"/>
    <w:rsid w:val="001F7B3B"/>
    <w:rsid w:val="002029D2"/>
    <w:rsid w:val="00206FB2"/>
    <w:rsid w:val="00207605"/>
    <w:rsid w:val="002143B9"/>
    <w:rsid w:val="0021529C"/>
    <w:rsid w:val="002168FC"/>
    <w:rsid w:val="00222CB4"/>
    <w:rsid w:val="00223C2A"/>
    <w:rsid w:val="002248B0"/>
    <w:rsid w:val="00224BCD"/>
    <w:rsid w:val="00226140"/>
    <w:rsid w:val="00226B8A"/>
    <w:rsid w:val="002274AA"/>
    <w:rsid w:val="0023049E"/>
    <w:rsid w:val="00231393"/>
    <w:rsid w:val="00231612"/>
    <w:rsid w:val="00232BEF"/>
    <w:rsid w:val="00235903"/>
    <w:rsid w:val="00237980"/>
    <w:rsid w:val="00241FDA"/>
    <w:rsid w:val="00246A02"/>
    <w:rsid w:val="00251D43"/>
    <w:rsid w:val="002625F0"/>
    <w:rsid w:val="002658AD"/>
    <w:rsid w:val="00266348"/>
    <w:rsid w:val="00266777"/>
    <w:rsid w:val="0027182A"/>
    <w:rsid w:val="00275CDB"/>
    <w:rsid w:val="002833CE"/>
    <w:rsid w:val="0028428E"/>
    <w:rsid w:val="00287C94"/>
    <w:rsid w:val="00297D50"/>
    <w:rsid w:val="002A62BD"/>
    <w:rsid w:val="002A721A"/>
    <w:rsid w:val="002B36E2"/>
    <w:rsid w:val="002C1F13"/>
    <w:rsid w:val="002C6DBB"/>
    <w:rsid w:val="002C73D4"/>
    <w:rsid w:val="002D008B"/>
    <w:rsid w:val="002D7C3C"/>
    <w:rsid w:val="002E02C0"/>
    <w:rsid w:val="002E040A"/>
    <w:rsid w:val="002E3E72"/>
    <w:rsid w:val="002E4287"/>
    <w:rsid w:val="002E4750"/>
    <w:rsid w:val="002E6959"/>
    <w:rsid w:val="002E7252"/>
    <w:rsid w:val="002F264B"/>
    <w:rsid w:val="002F63D4"/>
    <w:rsid w:val="002F6F2A"/>
    <w:rsid w:val="002F7324"/>
    <w:rsid w:val="00306977"/>
    <w:rsid w:val="003136BF"/>
    <w:rsid w:val="003158AF"/>
    <w:rsid w:val="00315BBA"/>
    <w:rsid w:val="00321340"/>
    <w:rsid w:val="00321760"/>
    <w:rsid w:val="00321808"/>
    <w:rsid w:val="00323095"/>
    <w:rsid w:val="003232CB"/>
    <w:rsid w:val="0032337C"/>
    <w:rsid w:val="00323764"/>
    <w:rsid w:val="00326104"/>
    <w:rsid w:val="00327339"/>
    <w:rsid w:val="0033054D"/>
    <w:rsid w:val="00330BD2"/>
    <w:rsid w:val="003349B9"/>
    <w:rsid w:val="0034107F"/>
    <w:rsid w:val="00346011"/>
    <w:rsid w:val="00352B98"/>
    <w:rsid w:val="003554E6"/>
    <w:rsid w:val="003575BA"/>
    <w:rsid w:val="00373484"/>
    <w:rsid w:val="0038620C"/>
    <w:rsid w:val="00386C40"/>
    <w:rsid w:val="003901BE"/>
    <w:rsid w:val="003937E5"/>
    <w:rsid w:val="003A12B5"/>
    <w:rsid w:val="003A1441"/>
    <w:rsid w:val="003A2A34"/>
    <w:rsid w:val="003A3B4E"/>
    <w:rsid w:val="003A6316"/>
    <w:rsid w:val="003A6FA9"/>
    <w:rsid w:val="003A74C8"/>
    <w:rsid w:val="003B5970"/>
    <w:rsid w:val="003C1F8E"/>
    <w:rsid w:val="003C5719"/>
    <w:rsid w:val="003C6FCA"/>
    <w:rsid w:val="003D042A"/>
    <w:rsid w:val="003D0D39"/>
    <w:rsid w:val="003D10C3"/>
    <w:rsid w:val="003D28A0"/>
    <w:rsid w:val="003D2FC2"/>
    <w:rsid w:val="003D51E4"/>
    <w:rsid w:val="003E13DE"/>
    <w:rsid w:val="003E4B95"/>
    <w:rsid w:val="003E6579"/>
    <w:rsid w:val="003E7BD4"/>
    <w:rsid w:val="003F0FAB"/>
    <w:rsid w:val="003F29D6"/>
    <w:rsid w:val="003F6896"/>
    <w:rsid w:val="003F6B90"/>
    <w:rsid w:val="00400903"/>
    <w:rsid w:val="00401A72"/>
    <w:rsid w:val="00403F10"/>
    <w:rsid w:val="00426123"/>
    <w:rsid w:val="004261EF"/>
    <w:rsid w:val="004334D0"/>
    <w:rsid w:val="004411A1"/>
    <w:rsid w:val="00444493"/>
    <w:rsid w:val="0044731C"/>
    <w:rsid w:val="00447AD5"/>
    <w:rsid w:val="00456F10"/>
    <w:rsid w:val="00457C02"/>
    <w:rsid w:val="004646CB"/>
    <w:rsid w:val="004665D8"/>
    <w:rsid w:val="00466E6A"/>
    <w:rsid w:val="004714B5"/>
    <w:rsid w:val="00472950"/>
    <w:rsid w:val="00473F67"/>
    <w:rsid w:val="0047620E"/>
    <w:rsid w:val="0047745C"/>
    <w:rsid w:val="0047758D"/>
    <w:rsid w:val="00487352"/>
    <w:rsid w:val="00490FCE"/>
    <w:rsid w:val="00492084"/>
    <w:rsid w:val="004A28D0"/>
    <w:rsid w:val="004A3115"/>
    <w:rsid w:val="004B2B68"/>
    <w:rsid w:val="004B5771"/>
    <w:rsid w:val="004D16FE"/>
    <w:rsid w:val="004D30F0"/>
    <w:rsid w:val="004D6C89"/>
    <w:rsid w:val="004D7503"/>
    <w:rsid w:val="004E24F3"/>
    <w:rsid w:val="004E2E39"/>
    <w:rsid w:val="004F0EF9"/>
    <w:rsid w:val="004F1E33"/>
    <w:rsid w:val="004F3A1A"/>
    <w:rsid w:val="005008EE"/>
    <w:rsid w:val="00500D27"/>
    <w:rsid w:val="0051093B"/>
    <w:rsid w:val="00510F80"/>
    <w:rsid w:val="005116DB"/>
    <w:rsid w:val="00511B45"/>
    <w:rsid w:val="00511FD0"/>
    <w:rsid w:val="0051361A"/>
    <w:rsid w:val="005175F0"/>
    <w:rsid w:val="005201CF"/>
    <w:rsid w:val="005216A1"/>
    <w:rsid w:val="005232CE"/>
    <w:rsid w:val="005306A6"/>
    <w:rsid w:val="00531072"/>
    <w:rsid w:val="0053159F"/>
    <w:rsid w:val="00531B9D"/>
    <w:rsid w:val="00533B5F"/>
    <w:rsid w:val="00533C9C"/>
    <w:rsid w:val="00533E6F"/>
    <w:rsid w:val="00540B8C"/>
    <w:rsid w:val="005413CA"/>
    <w:rsid w:val="00552AF9"/>
    <w:rsid w:val="00552CAB"/>
    <w:rsid w:val="00553C65"/>
    <w:rsid w:val="00555874"/>
    <w:rsid w:val="00566051"/>
    <w:rsid w:val="0056608B"/>
    <w:rsid w:val="00572E38"/>
    <w:rsid w:val="005777F5"/>
    <w:rsid w:val="00587B08"/>
    <w:rsid w:val="00590299"/>
    <w:rsid w:val="005917AF"/>
    <w:rsid w:val="00592AC0"/>
    <w:rsid w:val="00595EED"/>
    <w:rsid w:val="005A20CB"/>
    <w:rsid w:val="005B0C97"/>
    <w:rsid w:val="005B2F63"/>
    <w:rsid w:val="005B3DF5"/>
    <w:rsid w:val="005C27A9"/>
    <w:rsid w:val="005C4385"/>
    <w:rsid w:val="005C7FFC"/>
    <w:rsid w:val="005D1539"/>
    <w:rsid w:val="005D2080"/>
    <w:rsid w:val="005D3B0C"/>
    <w:rsid w:val="005D5524"/>
    <w:rsid w:val="005D6BC6"/>
    <w:rsid w:val="005E07CD"/>
    <w:rsid w:val="005F3759"/>
    <w:rsid w:val="005F44F6"/>
    <w:rsid w:val="00601E2E"/>
    <w:rsid w:val="00604B8B"/>
    <w:rsid w:val="00605891"/>
    <w:rsid w:val="0061294C"/>
    <w:rsid w:val="00614D3B"/>
    <w:rsid w:val="00615836"/>
    <w:rsid w:val="00623BBA"/>
    <w:rsid w:val="006247E4"/>
    <w:rsid w:val="00625648"/>
    <w:rsid w:val="00625C1F"/>
    <w:rsid w:val="00636910"/>
    <w:rsid w:val="00640092"/>
    <w:rsid w:val="00640987"/>
    <w:rsid w:val="006443F6"/>
    <w:rsid w:val="00645D13"/>
    <w:rsid w:val="006467E2"/>
    <w:rsid w:val="00646AC2"/>
    <w:rsid w:val="00654E7D"/>
    <w:rsid w:val="0065606C"/>
    <w:rsid w:val="006569B7"/>
    <w:rsid w:val="006579A0"/>
    <w:rsid w:val="00660399"/>
    <w:rsid w:val="00661EAF"/>
    <w:rsid w:val="00662F2A"/>
    <w:rsid w:val="00663165"/>
    <w:rsid w:val="0066417F"/>
    <w:rsid w:val="006658D3"/>
    <w:rsid w:val="00667838"/>
    <w:rsid w:val="006701E1"/>
    <w:rsid w:val="00670A56"/>
    <w:rsid w:val="00672A88"/>
    <w:rsid w:val="00673B2E"/>
    <w:rsid w:val="00681DEA"/>
    <w:rsid w:val="00682AAF"/>
    <w:rsid w:val="00683F56"/>
    <w:rsid w:val="00684C03"/>
    <w:rsid w:val="00686352"/>
    <w:rsid w:val="0069006A"/>
    <w:rsid w:val="00690495"/>
    <w:rsid w:val="00693680"/>
    <w:rsid w:val="00696BE2"/>
    <w:rsid w:val="006A248E"/>
    <w:rsid w:val="006A5D16"/>
    <w:rsid w:val="006A5E5F"/>
    <w:rsid w:val="006B4D5B"/>
    <w:rsid w:val="006B5D91"/>
    <w:rsid w:val="006C03C3"/>
    <w:rsid w:val="006C17F3"/>
    <w:rsid w:val="006E38D2"/>
    <w:rsid w:val="006E6429"/>
    <w:rsid w:val="006E7DE0"/>
    <w:rsid w:val="006F107E"/>
    <w:rsid w:val="006F264F"/>
    <w:rsid w:val="006F34B8"/>
    <w:rsid w:val="006F3C0F"/>
    <w:rsid w:val="00702195"/>
    <w:rsid w:val="00716C29"/>
    <w:rsid w:val="00720E1E"/>
    <w:rsid w:val="00722865"/>
    <w:rsid w:val="00724764"/>
    <w:rsid w:val="007260E4"/>
    <w:rsid w:val="007263B0"/>
    <w:rsid w:val="0073361A"/>
    <w:rsid w:val="00736979"/>
    <w:rsid w:val="00737264"/>
    <w:rsid w:val="0073769D"/>
    <w:rsid w:val="00741E61"/>
    <w:rsid w:val="007471D2"/>
    <w:rsid w:val="00751566"/>
    <w:rsid w:val="00751D8D"/>
    <w:rsid w:val="00752DAC"/>
    <w:rsid w:val="00753016"/>
    <w:rsid w:val="00753074"/>
    <w:rsid w:val="00755700"/>
    <w:rsid w:val="0075742D"/>
    <w:rsid w:val="00760A68"/>
    <w:rsid w:val="00763606"/>
    <w:rsid w:val="00763D00"/>
    <w:rsid w:val="00764D69"/>
    <w:rsid w:val="00765391"/>
    <w:rsid w:val="00774080"/>
    <w:rsid w:val="00777B48"/>
    <w:rsid w:val="007808B0"/>
    <w:rsid w:val="007825A4"/>
    <w:rsid w:val="00782893"/>
    <w:rsid w:val="0078609F"/>
    <w:rsid w:val="00787FC1"/>
    <w:rsid w:val="00790556"/>
    <w:rsid w:val="007952B1"/>
    <w:rsid w:val="007979EC"/>
    <w:rsid w:val="007A040D"/>
    <w:rsid w:val="007A5248"/>
    <w:rsid w:val="007A5E90"/>
    <w:rsid w:val="007A5ED5"/>
    <w:rsid w:val="007A5F11"/>
    <w:rsid w:val="007B3AEF"/>
    <w:rsid w:val="007B7D9E"/>
    <w:rsid w:val="007C1172"/>
    <w:rsid w:val="007D561F"/>
    <w:rsid w:val="007E404D"/>
    <w:rsid w:val="007E4567"/>
    <w:rsid w:val="007F0AE7"/>
    <w:rsid w:val="007F27A6"/>
    <w:rsid w:val="00803F3C"/>
    <w:rsid w:val="0080562D"/>
    <w:rsid w:val="00814887"/>
    <w:rsid w:val="008172DF"/>
    <w:rsid w:val="008238E3"/>
    <w:rsid w:val="00825E5B"/>
    <w:rsid w:val="00827255"/>
    <w:rsid w:val="00827299"/>
    <w:rsid w:val="008305F7"/>
    <w:rsid w:val="008344CF"/>
    <w:rsid w:val="0083548D"/>
    <w:rsid w:val="00852795"/>
    <w:rsid w:val="00856EDD"/>
    <w:rsid w:val="00857F8D"/>
    <w:rsid w:val="0086469F"/>
    <w:rsid w:val="00867DC5"/>
    <w:rsid w:val="00871F80"/>
    <w:rsid w:val="00872473"/>
    <w:rsid w:val="00872FE7"/>
    <w:rsid w:val="0087399E"/>
    <w:rsid w:val="00881720"/>
    <w:rsid w:val="00882BE3"/>
    <w:rsid w:val="00885E21"/>
    <w:rsid w:val="00887099"/>
    <w:rsid w:val="008877C2"/>
    <w:rsid w:val="00897EB7"/>
    <w:rsid w:val="008A4429"/>
    <w:rsid w:val="008B0F35"/>
    <w:rsid w:val="008B2759"/>
    <w:rsid w:val="008B2768"/>
    <w:rsid w:val="008B4F25"/>
    <w:rsid w:val="008C04D9"/>
    <w:rsid w:val="008C06C7"/>
    <w:rsid w:val="008C610E"/>
    <w:rsid w:val="008D2FC4"/>
    <w:rsid w:val="008E3F08"/>
    <w:rsid w:val="008E6751"/>
    <w:rsid w:val="008F36AE"/>
    <w:rsid w:val="008F5F4B"/>
    <w:rsid w:val="00902422"/>
    <w:rsid w:val="00915D68"/>
    <w:rsid w:val="0092063C"/>
    <w:rsid w:val="00921EDB"/>
    <w:rsid w:val="00926311"/>
    <w:rsid w:val="0093070C"/>
    <w:rsid w:val="00932CA6"/>
    <w:rsid w:val="0094725B"/>
    <w:rsid w:val="009472AC"/>
    <w:rsid w:val="00951E83"/>
    <w:rsid w:val="00954AF8"/>
    <w:rsid w:val="00960CB7"/>
    <w:rsid w:val="00963586"/>
    <w:rsid w:val="00963F3F"/>
    <w:rsid w:val="00964FC8"/>
    <w:rsid w:val="00966417"/>
    <w:rsid w:val="00967A0A"/>
    <w:rsid w:val="009759AB"/>
    <w:rsid w:val="00980AF2"/>
    <w:rsid w:val="00981E73"/>
    <w:rsid w:val="009869A9"/>
    <w:rsid w:val="00986E5D"/>
    <w:rsid w:val="00994280"/>
    <w:rsid w:val="009976A2"/>
    <w:rsid w:val="009A68EC"/>
    <w:rsid w:val="009B1374"/>
    <w:rsid w:val="009B2F51"/>
    <w:rsid w:val="009B7F36"/>
    <w:rsid w:val="009D0A6E"/>
    <w:rsid w:val="009D12D8"/>
    <w:rsid w:val="009D4AEF"/>
    <w:rsid w:val="009E0642"/>
    <w:rsid w:val="009E3F57"/>
    <w:rsid w:val="009E4E88"/>
    <w:rsid w:val="009F4B62"/>
    <w:rsid w:val="009F5394"/>
    <w:rsid w:val="00A05FD1"/>
    <w:rsid w:val="00A07710"/>
    <w:rsid w:val="00A1065A"/>
    <w:rsid w:val="00A112E9"/>
    <w:rsid w:val="00A120BC"/>
    <w:rsid w:val="00A13586"/>
    <w:rsid w:val="00A158EC"/>
    <w:rsid w:val="00A1685E"/>
    <w:rsid w:val="00A16F35"/>
    <w:rsid w:val="00A24223"/>
    <w:rsid w:val="00A30977"/>
    <w:rsid w:val="00A3193C"/>
    <w:rsid w:val="00A3224E"/>
    <w:rsid w:val="00A36B16"/>
    <w:rsid w:val="00A42446"/>
    <w:rsid w:val="00A43C01"/>
    <w:rsid w:val="00A43DD3"/>
    <w:rsid w:val="00A43F62"/>
    <w:rsid w:val="00A5044E"/>
    <w:rsid w:val="00A51367"/>
    <w:rsid w:val="00A52AC7"/>
    <w:rsid w:val="00A560D5"/>
    <w:rsid w:val="00A57A8F"/>
    <w:rsid w:val="00A7017F"/>
    <w:rsid w:val="00A71770"/>
    <w:rsid w:val="00A7428C"/>
    <w:rsid w:val="00A74341"/>
    <w:rsid w:val="00A771B2"/>
    <w:rsid w:val="00A84BAA"/>
    <w:rsid w:val="00A87DF4"/>
    <w:rsid w:val="00A87FB8"/>
    <w:rsid w:val="00A9292A"/>
    <w:rsid w:val="00A97273"/>
    <w:rsid w:val="00A972F3"/>
    <w:rsid w:val="00AA1C20"/>
    <w:rsid w:val="00AB049B"/>
    <w:rsid w:val="00AB2016"/>
    <w:rsid w:val="00AB5F1C"/>
    <w:rsid w:val="00AC1FE8"/>
    <w:rsid w:val="00AC252B"/>
    <w:rsid w:val="00AC2876"/>
    <w:rsid w:val="00AC4739"/>
    <w:rsid w:val="00AC569B"/>
    <w:rsid w:val="00AD183B"/>
    <w:rsid w:val="00AD41A7"/>
    <w:rsid w:val="00AD5757"/>
    <w:rsid w:val="00AD5A82"/>
    <w:rsid w:val="00AE3368"/>
    <w:rsid w:val="00AE3AE7"/>
    <w:rsid w:val="00AE5599"/>
    <w:rsid w:val="00AF1D04"/>
    <w:rsid w:val="00AF5624"/>
    <w:rsid w:val="00AF639C"/>
    <w:rsid w:val="00AF7324"/>
    <w:rsid w:val="00B03FB8"/>
    <w:rsid w:val="00B05780"/>
    <w:rsid w:val="00B06915"/>
    <w:rsid w:val="00B117A7"/>
    <w:rsid w:val="00B118F1"/>
    <w:rsid w:val="00B124E0"/>
    <w:rsid w:val="00B1352E"/>
    <w:rsid w:val="00B257C8"/>
    <w:rsid w:val="00B2616D"/>
    <w:rsid w:val="00B272F4"/>
    <w:rsid w:val="00B27BC0"/>
    <w:rsid w:val="00B31A0D"/>
    <w:rsid w:val="00B328A6"/>
    <w:rsid w:val="00B33AEF"/>
    <w:rsid w:val="00B33B7D"/>
    <w:rsid w:val="00B3632C"/>
    <w:rsid w:val="00B37F51"/>
    <w:rsid w:val="00B43067"/>
    <w:rsid w:val="00B52F75"/>
    <w:rsid w:val="00B536CF"/>
    <w:rsid w:val="00B56AB3"/>
    <w:rsid w:val="00B60565"/>
    <w:rsid w:val="00B61BEB"/>
    <w:rsid w:val="00B62874"/>
    <w:rsid w:val="00B63110"/>
    <w:rsid w:val="00B67CC6"/>
    <w:rsid w:val="00B7078C"/>
    <w:rsid w:val="00B76B72"/>
    <w:rsid w:val="00B81F54"/>
    <w:rsid w:val="00B91026"/>
    <w:rsid w:val="00B91B9F"/>
    <w:rsid w:val="00B96600"/>
    <w:rsid w:val="00BA3A2B"/>
    <w:rsid w:val="00BB1FFD"/>
    <w:rsid w:val="00BB4F07"/>
    <w:rsid w:val="00BC3120"/>
    <w:rsid w:val="00BC6667"/>
    <w:rsid w:val="00BD0E79"/>
    <w:rsid w:val="00BD3EB8"/>
    <w:rsid w:val="00BD6DF2"/>
    <w:rsid w:val="00BD7F04"/>
    <w:rsid w:val="00BE7C6D"/>
    <w:rsid w:val="00BF0454"/>
    <w:rsid w:val="00BF193F"/>
    <w:rsid w:val="00BF42BC"/>
    <w:rsid w:val="00C03345"/>
    <w:rsid w:val="00C07123"/>
    <w:rsid w:val="00C146E6"/>
    <w:rsid w:val="00C200D3"/>
    <w:rsid w:val="00C20357"/>
    <w:rsid w:val="00C20CD0"/>
    <w:rsid w:val="00C21688"/>
    <w:rsid w:val="00C23469"/>
    <w:rsid w:val="00C254F0"/>
    <w:rsid w:val="00C300DE"/>
    <w:rsid w:val="00C30B6E"/>
    <w:rsid w:val="00C32825"/>
    <w:rsid w:val="00C342DB"/>
    <w:rsid w:val="00C35856"/>
    <w:rsid w:val="00C40A7E"/>
    <w:rsid w:val="00C40B16"/>
    <w:rsid w:val="00C41215"/>
    <w:rsid w:val="00C41AB5"/>
    <w:rsid w:val="00C44797"/>
    <w:rsid w:val="00C44CEA"/>
    <w:rsid w:val="00C509B3"/>
    <w:rsid w:val="00C51B7A"/>
    <w:rsid w:val="00C54B73"/>
    <w:rsid w:val="00C608E4"/>
    <w:rsid w:val="00C6123D"/>
    <w:rsid w:val="00C62B3D"/>
    <w:rsid w:val="00C66D46"/>
    <w:rsid w:val="00C67331"/>
    <w:rsid w:val="00C778AF"/>
    <w:rsid w:val="00C844B5"/>
    <w:rsid w:val="00C92225"/>
    <w:rsid w:val="00CA04A0"/>
    <w:rsid w:val="00CA15D2"/>
    <w:rsid w:val="00CA1E33"/>
    <w:rsid w:val="00CA2381"/>
    <w:rsid w:val="00CA2A1A"/>
    <w:rsid w:val="00CA7DB4"/>
    <w:rsid w:val="00CC07EE"/>
    <w:rsid w:val="00CC0C77"/>
    <w:rsid w:val="00CC125C"/>
    <w:rsid w:val="00CC2EB9"/>
    <w:rsid w:val="00CC4229"/>
    <w:rsid w:val="00CC5603"/>
    <w:rsid w:val="00CD3FB1"/>
    <w:rsid w:val="00CE196E"/>
    <w:rsid w:val="00CE25A3"/>
    <w:rsid w:val="00CE2746"/>
    <w:rsid w:val="00CE2C14"/>
    <w:rsid w:val="00CE4BA1"/>
    <w:rsid w:val="00CE4E17"/>
    <w:rsid w:val="00CE5DE2"/>
    <w:rsid w:val="00CE63EA"/>
    <w:rsid w:val="00CF3659"/>
    <w:rsid w:val="00CF49F1"/>
    <w:rsid w:val="00CF4D64"/>
    <w:rsid w:val="00CF545F"/>
    <w:rsid w:val="00CF6B62"/>
    <w:rsid w:val="00D13188"/>
    <w:rsid w:val="00D25895"/>
    <w:rsid w:val="00D25D8C"/>
    <w:rsid w:val="00D26623"/>
    <w:rsid w:val="00D26A33"/>
    <w:rsid w:val="00D3050B"/>
    <w:rsid w:val="00D32A97"/>
    <w:rsid w:val="00D32C2E"/>
    <w:rsid w:val="00D368BC"/>
    <w:rsid w:val="00D37A5F"/>
    <w:rsid w:val="00D45BF0"/>
    <w:rsid w:val="00D46A95"/>
    <w:rsid w:val="00D5294C"/>
    <w:rsid w:val="00D553D8"/>
    <w:rsid w:val="00D55F2E"/>
    <w:rsid w:val="00D60A33"/>
    <w:rsid w:val="00D62A09"/>
    <w:rsid w:val="00D62FFC"/>
    <w:rsid w:val="00D66CF4"/>
    <w:rsid w:val="00D773A8"/>
    <w:rsid w:val="00D77A23"/>
    <w:rsid w:val="00D81703"/>
    <w:rsid w:val="00D90042"/>
    <w:rsid w:val="00D96A36"/>
    <w:rsid w:val="00DB7BAC"/>
    <w:rsid w:val="00DC2CB1"/>
    <w:rsid w:val="00DC4B6A"/>
    <w:rsid w:val="00DD05CE"/>
    <w:rsid w:val="00DD18F5"/>
    <w:rsid w:val="00DD3103"/>
    <w:rsid w:val="00DE1179"/>
    <w:rsid w:val="00DE2F89"/>
    <w:rsid w:val="00DE3B63"/>
    <w:rsid w:val="00DF4E3A"/>
    <w:rsid w:val="00E00AB5"/>
    <w:rsid w:val="00E03B4F"/>
    <w:rsid w:val="00E11DD3"/>
    <w:rsid w:val="00E17911"/>
    <w:rsid w:val="00E17D68"/>
    <w:rsid w:val="00E23055"/>
    <w:rsid w:val="00E243AF"/>
    <w:rsid w:val="00E33C12"/>
    <w:rsid w:val="00E426B9"/>
    <w:rsid w:val="00E42969"/>
    <w:rsid w:val="00E475E6"/>
    <w:rsid w:val="00E47607"/>
    <w:rsid w:val="00E5134F"/>
    <w:rsid w:val="00E51C61"/>
    <w:rsid w:val="00E65146"/>
    <w:rsid w:val="00E71B3B"/>
    <w:rsid w:val="00E72E06"/>
    <w:rsid w:val="00E7476F"/>
    <w:rsid w:val="00E74C15"/>
    <w:rsid w:val="00E83F7D"/>
    <w:rsid w:val="00EB005D"/>
    <w:rsid w:val="00EB6116"/>
    <w:rsid w:val="00EC4AA6"/>
    <w:rsid w:val="00EC69E5"/>
    <w:rsid w:val="00ED1C55"/>
    <w:rsid w:val="00ED561B"/>
    <w:rsid w:val="00ED5A62"/>
    <w:rsid w:val="00EE1E7B"/>
    <w:rsid w:val="00EE28A9"/>
    <w:rsid w:val="00EE5C71"/>
    <w:rsid w:val="00EF147D"/>
    <w:rsid w:val="00EF1BF9"/>
    <w:rsid w:val="00EF22C4"/>
    <w:rsid w:val="00EF4E80"/>
    <w:rsid w:val="00F0011D"/>
    <w:rsid w:val="00F0025F"/>
    <w:rsid w:val="00F007EA"/>
    <w:rsid w:val="00F04D76"/>
    <w:rsid w:val="00F122CE"/>
    <w:rsid w:val="00F17A39"/>
    <w:rsid w:val="00F2197B"/>
    <w:rsid w:val="00F2265D"/>
    <w:rsid w:val="00F2549E"/>
    <w:rsid w:val="00F25556"/>
    <w:rsid w:val="00F2658B"/>
    <w:rsid w:val="00F3141F"/>
    <w:rsid w:val="00F3164D"/>
    <w:rsid w:val="00F31E94"/>
    <w:rsid w:val="00F32EDB"/>
    <w:rsid w:val="00F34711"/>
    <w:rsid w:val="00F34ADE"/>
    <w:rsid w:val="00F34F00"/>
    <w:rsid w:val="00F360D5"/>
    <w:rsid w:val="00F36B5F"/>
    <w:rsid w:val="00F372E2"/>
    <w:rsid w:val="00F408C6"/>
    <w:rsid w:val="00F44A08"/>
    <w:rsid w:val="00F44A9F"/>
    <w:rsid w:val="00F44F47"/>
    <w:rsid w:val="00F466E7"/>
    <w:rsid w:val="00F51253"/>
    <w:rsid w:val="00F531F6"/>
    <w:rsid w:val="00F5483A"/>
    <w:rsid w:val="00F5658F"/>
    <w:rsid w:val="00F610EE"/>
    <w:rsid w:val="00F61B6A"/>
    <w:rsid w:val="00F65E65"/>
    <w:rsid w:val="00F7156C"/>
    <w:rsid w:val="00F72998"/>
    <w:rsid w:val="00F74C0F"/>
    <w:rsid w:val="00F77805"/>
    <w:rsid w:val="00F843F6"/>
    <w:rsid w:val="00F91498"/>
    <w:rsid w:val="00F93693"/>
    <w:rsid w:val="00F93A7E"/>
    <w:rsid w:val="00F97D1B"/>
    <w:rsid w:val="00FA31F9"/>
    <w:rsid w:val="00FA5AF7"/>
    <w:rsid w:val="00FA7110"/>
    <w:rsid w:val="00FB0A1D"/>
    <w:rsid w:val="00FC0731"/>
    <w:rsid w:val="00FC07D6"/>
    <w:rsid w:val="00FC41C4"/>
    <w:rsid w:val="00FC5F7D"/>
    <w:rsid w:val="00FC656D"/>
    <w:rsid w:val="00FD0EB1"/>
    <w:rsid w:val="00FD347B"/>
    <w:rsid w:val="00FE270F"/>
    <w:rsid w:val="00FE4282"/>
    <w:rsid w:val="00FE4A6D"/>
    <w:rsid w:val="00FE517A"/>
    <w:rsid w:val="00FE7E70"/>
    <w:rsid w:val="00FF0C5D"/>
    <w:rsid w:val="00FF33FE"/>
    <w:rsid w:val="00FF7516"/>
    <w:rsid w:val="233DC524"/>
    <w:rsid w:val="2CF68E62"/>
    <w:rsid w:val="42B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61847"/>
  <w15:chartTrackingRefBased/>
  <w15:docId w15:val="{228A1AA8-7FCC-464E-9DF5-E45FC364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B1"/>
  </w:style>
  <w:style w:type="paragraph" w:styleId="Heading1">
    <w:name w:val="heading 1"/>
    <w:basedOn w:val="Normal"/>
    <w:next w:val="Normal"/>
    <w:link w:val="Heading1Char"/>
    <w:uiPriority w:val="9"/>
    <w:qFormat/>
    <w:rsid w:val="004B577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7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7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7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7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7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7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7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7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BLUE">
    <w:name w:val="Masthead BLUE"/>
    <w:basedOn w:val="Normal"/>
    <w:rsid w:val="00CA2A1A"/>
    <w:pPr>
      <w:widowControl w:val="0"/>
      <w:autoSpaceDE w:val="0"/>
      <w:autoSpaceDN w:val="0"/>
      <w:spacing w:before="241" w:after="0" w:line="269" w:lineRule="auto"/>
      <w:ind w:left="20"/>
    </w:pPr>
    <w:rPr>
      <w:rFonts w:asciiTheme="majorHAnsi" w:eastAsia="Franklin Gothic Book" w:hAnsiTheme="majorHAnsi" w:cs="Franklin Gothic Book"/>
      <w:color w:val="ED7D31" w:themeColor="accent2"/>
      <w:sz w:val="120"/>
      <w:lang w:bidi="en-US"/>
    </w:rPr>
  </w:style>
  <w:style w:type="table" w:styleId="TableGrid">
    <w:name w:val="Table Grid"/>
    <w:basedOn w:val="TableNormal"/>
    <w:uiPriority w:val="39"/>
    <w:rsid w:val="00C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A1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77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styleId="Hyperlink">
    <w:name w:val="Hyperlink"/>
    <w:rsid w:val="00BB1FFD"/>
    <w:rPr>
      <w:color w:val="6666CC"/>
      <w:u w:val="single"/>
    </w:rPr>
  </w:style>
  <w:style w:type="character" w:styleId="Strong">
    <w:name w:val="Strong"/>
    <w:basedOn w:val="DefaultParagraphFont"/>
    <w:uiPriority w:val="22"/>
    <w:qFormat/>
    <w:rsid w:val="004B57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FD"/>
  </w:style>
  <w:style w:type="paragraph" w:styleId="Footer">
    <w:name w:val="footer"/>
    <w:basedOn w:val="Normal"/>
    <w:link w:val="Foot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FD"/>
  </w:style>
  <w:style w:type="character" w:customStyle="1" w:styleId="Heading1Char">
    <w:name w:val="Heading 1 Char"/>
    <w:basedOn w:val="DefaultParagraphFont"/>
    <w:link w:val="Heading1"/>
    <w:uiPriority w:val="9"/>
    <w:rsid w:val="004B577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NormalWeb">
    <w:name w:val="Normal (Web)"/>
    <w:basedOn w:val="Normal"/>
    <w:uiPriority w:val="99"/>
    <w:unhideWhenUsed/>
    <w:rsid w:val="0069049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DF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B577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B5771"/>
    <w:rPr>
      <w:i/>
      <w:iCs/>
    </w:rPr>
  </w:style>
  <w:style w:type="character" w:customStyle="1" w:styleId="id812">
    <w:name w:val="id812"/>
    <w:basedOn w:val="DefaultParagraphFont"/>
    <w:rsid w:val="008C610E"/>
  </w:style>
  <w:style w:type="character" w:styleId="CommentReference">
    <w:name w:val="annotation reference"/>
    <w:basedOn w:val="DefaultParagraphFont"/>
    <w:uiPriority w:val="99"/>
    <w:semiHidden/>
    <w:unhideWhenUsed/>
    <w:rsid w:val="00D66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7A6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77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77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B5771"/>
    <w:rPr>
      <w:b/>
      <w:bCs/>
      <w:smallCaps/>
      <w:color w:val="4472C4" w:themeColor="accent1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B577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77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table" w:styleId="GridTable4-Accent5">
    <w:name w:val="Grid Table 4 Accent 5"/>
    <w:basedOn w:val="TableNormal"/>
    <w:uiPriority w:val="49"/>
    <w:rsid w:val="00F84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4B577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4B577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77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77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77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77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577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77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B5771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4B57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577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77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B57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5771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4B5771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B577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7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ocs.dhs.state.mn.us/lfserver/Public/DHS-6633A-E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recoordination.bluecrossmn.com/wp-content/uploads/2025/12/Bridgeview-Care-Coordination-User-Guide-FINAL-12-3-2025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ocs.dhs.state.mn.us/lfserver/Public/DHS-6633A-E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rtner.Relations@bluecrossm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87099de3adefde497a661a3d48fb1720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6d83842e1b36adf552b5feae3ced8741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61773-619F-4330-AB9A-FE94C29C0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3BD05-544E-4038-9617-006BA0776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DF641-BE23-4A58-B17F-2FC654262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BBDBFF-10E0-45DB-A88A-FCE54119ECE2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684</Words>
  <Characters>3595</Characters>
  <Application>Microsoft Office Word</Application>
  <DocSecurity>8</DocSecurity>
  <Lines>70</Lines>
  <Paragraphs>52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Church, Stormy</cp:lastModifiedBy>
  <cp:revision>326</cp:revision>
  <cp:lastPrinted>2023-04-14T11:37:00Z</cp:lastPrinted>
  <dcterms:created xsi:type="dcterms:W3CDTF">2025-12-13T09:46:00Z</dcterms:created>
  <dcterms:modified xsi:type="dcterms:W3CDTF">2025-12-17T21:52:00Z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ediaServiceImageTags">
    <vt:lpwstr/>
  </property>
  <property fmtid="{D5CDD505-2E9C-101B-9397-08002B2CF9AE}" pid="4" name="MSIP_Label_aecce149-e41b-4002-a9ef-5f7c4ebd7945_Enabled">
    <vt:lpwstr>true</vt:lpwstr>
  </property>
  <property fmtid="{D5CDD505-2E9C-101B-9397-08002B2CF9AE}" pid="5" name="MSIP_Label_aecce149-e41b-4002-a9ef-5f7c4ebd7945_SetDate">
    <vt:lpwstr>2025-01-03T14:24:03Z</vt:lpwstr>
  </property>
  <property fmtid="{D5CDD505-2E9C-101B-9397-08002B2CF9AE}" pid="6" name="MSIP_Label_aecce149-e41b-4002-a9ef-5f7c4ebd7945_Method">
    <vt:lpwstr>Privileged</vt:lpwstr>
  </property>
  <property fmtid="{D5CDD505-2E9C-101B-9397-08002B2CF9AE}" pid="7" name="MSIP_Label_aecce149-e41b-4002-a9ef-5f7c4ebd7945_Name">
    <vt:lpwstr>Public</vt:lpwstr>
  </property>
  <property fmtid="{D5CDD505-2E9C-101B-9397-08002B2CF9AE}" pid="8" name="MSIP_Label_aecce149-e41b-4002-a9ef-5f7c4ebd7945_SiteId">
    <vt:lpwstr>f2cae92a-8892-4e20-96c4-6ad7ba8f0e72</vt:lpwstr>
  </property>
  <property fmtid="{D5CDD505-2E9C-101B-9397-08002B2CF9AE}" pid="9" name="MSIP_Label_aecce149-e41b-4002-a9ef-5f7c4ebd7945_ActionId">
    <vt:lpwstr>592b1ffe-63f3-477b-b410-9f3990e9c52f</vt:lpwstr>
  </property>
  <property fmtid="{D5CDD505-2E9C-101B-9397-08002B2CF9AE}" pid="10" name="MSIP_Label_aecce149-e41b-4002-a9ef-5f7c4ebd7945_ContentBits">
    <vt:lpwstr>0</vt:lpwstr>
  </property>
  <property fmtid="{D5CDD505-2E9C-101B-9397-08002B2CF9AE}" pid="11" name="docLang">
    <vt:lpwstr>en</vt:lpwstr>
  </property>
  <property fmtid="{D5CDD505-2E9C-101B-9397-08002B2CF9AE}" pid="12" name="GrammarlyDocumentId">
    <vt:lpwstr>20d73159-e22d-47f3-8cee-5fd87b6f8015</vt:lpwstr>
  </property>
</Properties>
</file>