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55A7" w14:textId="77777777" w:rsidR="004D7609" w:rsidRPr="00CF41F4" w:rsidRDefault="004D7609" w:rsidP="004D7609">
      <w:pPr>
        <w:pStyle w:val="Title"/>
        <w:spacing w:before="60" w:after="60"/>
        <w:jc w:val="center"/>
        <w:rPr>
          <w:rStyle w:val="IntenseReference"/>
          <w:rFonts w:cstheme="majorHAnsi"/>
          <w:color w:val="0070C0"/>
          <w:sz w:val="40"/>
          <w:szCs w:val="40"/>
        </w:rPr>
      </w:pPr>
      <w:bookmarkStart w:id="0" w:name="_Hlk213848191"/>
      <w:bookmarkEnd w:id="0"/>
      <w:r w:rsidRPr="00CF41F4">
        <w:rPr>
          <w:rStyle w:val="IntenseReference"/>
          <w:rFonts w:cstheme="majorHAnsi"/>
          <w:color w:val="0070C0"/>
          <w:sz w:val="40"/>
          <w:szCs w:val="40"/>
        </w:rPr>
        <w:t xml:space="preserve">CFSS </w:t>
      </w:r>
      <w:r>
        <w:rPr>
          <w:rStyle w:val="IntenseReference"/>
          <w:rFonts w:cstheme="majorHAnsi"/>
          <w:color w:val="0070C0"/>
          <w:sz w:val="40"/>
          <w:szCs w:val="40"/>
        </w:rPr>
        <w:t xml:space="preserve">&amp; Bridgeview </w:t>
      </w:r>
      <w:r w:rsidRPr="00CF41F4">
        <w:rPr>
          <w:rStyle w:val="IntenseReference"/>
          <w:rFonts w:cstheme="majorHAnsi"/>
          <w:color w:val="0070C0"/>
          <w:sz w:val="40"/>
          <w:szCs w:val="40"/>
        </w:rPr>
        <w:t>Reminders</w:t>
      </w:r>
    </w:p>
    <w:p w14:paraId="7BE9E0D3" w14:textId="77777777" w:rsidR="004D7609" w:rsidRDefault="004D7609" w:rsidP="004D7609">
      <w:pPr>
        <w:pStyle w:val="ListParagraph"/>
        <w:numPr>
          <w:ilvl w:val="0"/>
          <w:numId w:val="27"/>
        </w:numPr>
        <w:spacing w:before="60" w:after="60" w:line="240" w:lineRule="auto"/>
      </w:pPr>
      <w:r>
        <w:t xml:space="preserve">Once a member has transitioned from PCA to CFSS, they </w:t>
      </w:r>
      <w:r w:rsidRPr="009355C1">
        <w:rPr>
          <w:b/>
          <w:bCs/>
        </w:rPr>
        <w:t>cannot</w:t>
      </w:r>
      <w:r>
        <w:t xml:space="preserve"> go back onto PCA. </w:t>
      </w:r>
    </w:p>
    <w:p w14:paraId="5662F3EA" w14:textId="77777777" w:rsidR="004D7609" w:rsidRDefault="004D7609" w:rsidP="004D7609">
      <w:pPr>
        <w:pStyle w:val="ListParagraph"/>
        <w:numPr>
          <w:ilvl w:val="1"/>
          <w:numId w:val="27"/>
        </w:numPr>
        <w:spacing w:before="60" w:after="60" w:line="240" w:lineRule="auto"/>
      </w:pPr>
      <w:r w:rsidRPr="004B6536">
        <w:rPr>
          <w:b/>
          <w:bCs/>
        </w:rPr>
        <w:t xml:space="preserve">At reassessment, if you do not have an approved service delivery plan, please </w:t>
      </w:r>
      <w:r>
        <w:rPr>
          <w:b/>
          <w:bCs/>
        </w:rPr>
        <w:t>refer to</w:t>
      </w:r>
      <w:r w:rsidRPr="004B6536">
        <w:rPr>
          <w:b/>
          <w:bCs/>
        </w:rPr>
        <w:t xml:space="preserve"> the CFSS Guidelines found on Blue Plus’s </w:t>
      </w:r>
      <w:hyperlink r:id="rId10" w:history="1">
        <w:r w:rsidRPr="004B6536">
          <w:rPr>
            <w:rStyle w:val="Hyperlink"/>
            <w:b/>
            <w:bCs/>
          </w:rPr>
          <w:t>Care Coordination website</w:t>
        </w:r>
      </w:hyperlink>
      <w:r w:rsidRPr="004B6536">
        <w:rPr>
          <w:b/>
          <w:bCs/>
        </w:rPr>
        <w:t>.</w:t>
      </w:r>
      <w:r>
        <w:t xml:space="preserve"> Follow the process outlined under heading </w:t>
      </w:r>
      <w:r w:rsidRPr="009F2BBE">
        <w:rPr>
          <w:i/>
          <w:iCs/>
        </w:rPr>
        <w:t>Temporary Approval</w:t>
      </w:r>
      <w:r>
        <w:t xml:space="preserve">. </w:t>
      </w:r>
    </w:p>
    <w:p w14:paraId="2D343C30" w14:textId="77777777" w:rsidR="004D7609" w:rsidRDefault="004D7609" w:rsidP="004D7609">
      <w:pPr>
        <w:spacing w:before="60" w:after="60" w:line="240" w:lineRule="auto"/>
        <w:jc w:val="center"/>
      </w:pPr>
      <w:r>
        <w:rPr>
          <w:noProof/>
        </w:rPr>
        <w:drawing>
          <wp:inline distT="0" distB="0" distL="0" distR="0" wp14:anchorId="210B86CF" wp14:editId="523F6C98">
            <wp:extent cx="3144324" cy="2112476"/>
            <wp:effectExtent l="95250" t="95250" r="94615" b="97790"/>
            <wp:docPr id="153958581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85817" name="Picture 1" descr="A screenshot of a computer&#10;&#10;AI-generated content may be incorrect."/>
                    <pic:cNvPicPr/>
                  </pic:nvPicPr>
                  <pic:blipFill>
                    <a:blip r:embed="rId11"/>
                    <a:stretch>
                      <a:fillRect/>
                    </a:stretch>
                  </pic:blipFill>
                  <pic:spPr>
                    <a:xfrm>
                      <a:off x="0" y="0"/>
                      <a:ext cx="3156328" cy="2120541"/>
                    </a:xfrm>
                    <a:prstGeom prst="rect">
                      <a:avLst/>
                    </a:prstGeom>
                    <a:ln>
                      <a:noFill/>
                    </a:ln>
                    <a:effectLst>
                      <a:outerShdw blurRad="63500" sx="102000" sy="102000" algn="ctr" rotWithShape="0">
                        <a:prstClr val="black">
                          <a:alpha val="40000"/>
                        </a:prstClr>
                      </a:outerShdw>
                    </a:effectLst>
                  </pic:spPr>
                </pic:pic>
              </a:graphicData>
            </a:graphic>
          </wp:inline>
        </w:drawing>
      </w:r>
    </w:p>
    <w:p w14:paraId="47F5D1A8" w14:textId="77777777" w:rsidR="004D7609" w:rsidRDefault="004D7609" w:rsidP="004D7609">
      <w:pPr>
        <w:pStyle w:val="ListParagraph"/>
        <w:numPr>
          <w:ilvl w:val="1"/>
          <w:numId w:val="27"/>
        </w:numPr>
        <w:spacing w:before="60" w:after="60" w:line="240" w:lineRule="auto"/>
      </w:pPr>
      <w:r>
        <w:t>If, after reviewing, you have additional questions, please contact your PR Consultant.</w:t>
      </w:r>
    </w:p>
    <w:p w14:paraId="3C78FA2A" w14:textId="77777777" w:rsidR="004D7609" w:rsidRDefault="004D7609" w:rsidP="004D7609">
      <w:pPr>
        <w:pStyle w:val="ListParagraph"/>
        <w:numPr>
          <w:ilvl w:val="0"/>
          <w:numId w:val="27"/>
        </w:numPr>
        <w:spacing w:before="60" w:after="60" w:line="240" w:lineRule="auto"/>
      </w:pPr>
      <w:r w:rsidRPr="00A4552D">
        <w:rPr>
          <w:b/>
          <w:bCs/>
        </w:rPr>
        <w:t>Reminder that CFSS authorizations are not found in Helios.</w:t>
      </w:r>
      <w:r>
        <w:t xml:space="preserve"> If providers reach out to you, asking about an auth:</w:t>
      </w:r>
    </w:p>
    <w:p w14:paraId="0821F8D3" w14:textId="01F5236F" w:rsidR="004D7609" w:rsidRDefault="004D7609" w:rsidP="004D7609">
      <w:pPr>
        <w:pStyle w:val="ListParagraph"/>
        <w:numPr>
          <w:ilvl w:val="1"/>
          <w:numId w:val="27"/>
        </w:numPr>
        <w:spacing w:before="60" w:after="60" w:line="240" w:lineRule="auto"/>
      </w:pPr>
      <w:r>
        <w:t>Direct the provider (s) to access the authorizations in Availity-Payor Spaces</w:t>
      </w:r>
      <w:r w:rsidR="00DD1E92">
        <w:t xml:space="preserve">, where they </w:t>
      </w:r>
      <w:r>
        <w:t xml:space="preserve">can view and print authorizations. </w:t>
      </w:r>
    </w:p>
    <w:p w14:paraId="1A5368C8" w14:textId="77777777" w:rsidR="004D7609" w:rsidRDefault="004D7609" w:rsidP="004D7609">
      <w:pPr>
        <w:pStyle w:val="ListParagraph"/>
        <w:numPr>
          <w:ilvl w:val="1"/>
          <w:numId w:val="27"/>
        </w:numPr>
        <w:spacing w:before="60" w:after="60" w:line="240" w:lineRule="auto"/>
      </w:pPr>
      <w:r>
        <w:t xml:space="preserve">Advise that when providers are submitting claims for CFSS, they must choose Bridgeview as the payor, not Blue Plus Medicaid. </w:t>
      </w:r>
    </w:p>
    <w:p w14:paraId="0CE787FE" w14:textId="77777777" w:rsidR="004D7609" w:rsidRDefault="004D7609" w:rsidP="004D7609">
      <w:pPr>
        <w:pStyle w:val="ListParagraph"/>
        <w:numPr>
          <w:ilvl w:val="1"/>
          <w:numId w:val="27"/>
        </w:numPr>
        <w:spacing w:before="60" w:after="60" w:line="240" w:lineRule="auto"/>
      </w:pPr>
      <w:r>
        <w:t xml:space="preserve">Direct providers to contact Bridgeview directly for any questions at 1.800.584.9488 or email </w:t>
      </w:r>
      <w:hyperlink r:id="rId12" w:history="1">
        <w:r w:rsidRPr="00E850E4">
          <w:rPr>
            <w:rStyle w:val="Hyperlink"/>
          </w:rPr>
          <w:t>EWProviders@bluecrossmn.com</w:t>
        </w:r>
      </w:hyperlink>
      <w:r>
        <w:t xml:space="preserve">. </w:t>
      </w:r>
    </w:p>
    <w:p w14:paraId="2958CBC1" w14:textId="77777777" w:rsidR="004D7609" w:rsidRPr="003077AE" w:rsidRDefault="004D7609" w:rsidP="004D7609">
      <w:pPr>
        <w:pStyle w:val="ListParagraph"/>
        <w:numPr>
          <w:ilvl w:val="0"/>
          <w:numId w:val="27"/>
        </w:numPr>
        <w:spacing w:before="60" w:after="60" w:line="240" w:lineRule="auto"/>
        <w:rPr>
          <w:b/>
          <w:bCs/>
        </w:rPr>
      </w:pPr>
      <w:r w:rsidRPr="003077AE">
        <w:rPr>
          <w:b/>
          <w:bCs/>
        </w:rPr>
        <w:t>Bridgeview service agreements should only be amended in the following instances:</w:t>
      </w:r>
    </w:p>
    <w:p w14:paraId="23721600" w14:textId="05EA664C" w:rsidR="004D7609" w:rsidRDefault="004D7609" w:rsidP="004D7609">
      <w:pPr>
        <w:pStyle w:val="ListParagraph"/>
        <w:numPr>
          <w:ilvl w:val="1"/>
          <w:numId w:val="27"/>
        </w:numPr>
        <w:spacing w:before="60" w:after="60" w:line="240" w:lineRule="auto"/>
      </w:pPr>
      <w:r>
        <w:t xml:space="preserve">If a member transitions from PCA to CFSS and has an active PCA authorization. </w:t>
      </w:r>
      <w:r>
        <w:rPr>
          <w:noProof/>
        </w:rPr>
        <w:drawing>
          <wp:inline distT="0" distB="0" distL="0" distR="0" wp14:anchorId="326E5257" wp14:editId="517581D5">
            <wp:extent cx="4489207" cy="2269543"/>
            <wp:effectExtent l="114300" t="95250" r="102235" b="92710"/>
            <wp:docPr id="329911189"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11189" name="Picture 3" descr="A screen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4377" cy="2312601"/>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6AC2BD3D" w14:textId="77777777" w:rsidR="004D7609" w:rsidRDefault="004D7609" w:rsidP="004D7609">
      <w:pPr>
        <w:pStyle w:val="ListParagraph"/>
        <w:numPr>
          <w:ilvl w:val="2"/>
          <w:numId w:val="27"/>
        </w:numPr>
        <w:spacing w:before="60" w:after="60" w:line="240" w:lineRule="auto"/>
      </w:pPr>
      <w:r>
        <w:t xml:space="preserve">No DTR required. </w:t>
      </w:r>
    </w:p>
    <w:p w14:paraId="4B8EDE76" w14:textId="77777777" w:rsidR="004D7609" w:rsidRDefault="004D7609" w:rsidP="004D7609">
      <w:pPr>
        <w:pStyle w:val="ListParagraph"/>
        <w:numPr>
          <w:ilvl w:val="2"/>
          <w:numId w:val="27"/>
        </w:numPr>
        <w:spacing w:before="60" w:after="60" w:line="240" w:lineRule="auto"/>
      </w:pPr>
      <w:r>
        <w:t xml:space="preserve">After amending the PCA authorization, enter the CFSS service agreement. Refer to Service Agreement resources on the </w:t>
      </w:r>
      <w:hyperlink r:id="rId14" w:history="1">
        <w:r w:rsidRPr="003E64C5">
          <w:rPr>
            <w:rStyle w:val="Hyperlink"/>
          </w:rPr>
          <w:t>Care Coordinator website</w:t>
        </w:r>
      </w:hyperlink>
      <w:r>
        <w:t xml:space="preserve">. </w:t>
      </w:r>
    </w:p>
    <w:p w14:paraId="4BE2B2B0" w14:textId="18B3FA1D" w:rsidR="004D7609" w:rsidRDefault="004D7609" w:rsidP="004D7609">
      <w:pPr>
        <w:pStyle w:val="ListParagraph"/>
        <w:numPr>
          <w:ilvl w:val="3"/>
          <w:numId w:val="27"/>
        </w:numPr>
        <w:spacing w:before="60" w:after="60" w:line="240" w:lineRule="auto"/>
      </w:pPr>
      <w:r>
        <w:t xml:space="preserve">*The approved service delivery plan should include the number of CFSS units to be authorized. </w:t>
      </w:r>
    </w:p>
    <w:p w14:paraId="2CC37CD9" w14:textId="6C1FBD74" w:rsidR="004D7609" w:rsidRDefault="004D7609" w:rsidP="004D7609">
      <w:pPr>
        <w:pStyle w:val="ListParagraph"/>
        <w:numPr>
          <w:ilvl w:val="3"/>
          <w:numId w:val="27"/>
        </w:numPr>
        <w:spacing w:before="60" w:after="60" w:line="240" w:lineRule="auto"/>
      </w:pPr>
      <w:r>
        <w:rPr>
          <w:i/>
          <w:iCs/>
        </w:rPr>
        <w:t>From</w:t>
      </w:r>
      <w:r w:rsidRPr="00D66246">
        <w:rPr>
          <w:i/>
          <w:iCs/>
        </w:rPr>
        <w:t xml:space="preserve"> Date</w:t>
      </w:r>
      <w:r>
        <w:rPr>
          <w:i/>
          <w:iCs/>
        </w:rPr>
        <w:t xml:space="preserve"> </w:t>
      </w:r>
      <w:r>
        <w:t xml:space="preserve">is date of signed plan, </w:t>
      </w:r>
      <w:r w:rsidRPr="00D66246">
        <w:rPr>
          <w:i/>
          <w:iCs/>
        </w:rPr>
        <w:t>To Date</w:t>
      </w:r>
      <w:r>
        <w:rPr>
          <w:i/>
          <w:iCs/>
        </w:rPr>
        <w:t xml:space="preserve"> </w:t>
      </w:r>
      <w:r>
        <w:t>is the end date of current span.</w:t>
      </w:r>
    </w:p>
    <w:p w14:paraId="52EDE87F" w14:textId="77777777" w:rsidR="004D7609" w:rsidRDefault="004D7609" w:rsidP="004D7609">
      <w:pPr>
        <w:pStyle w:val="ListParagraph"/>
        <w:numPr>
          <w:ilvl w:val="1"/>
          <w:numId w:val="27"/>
        </w:numPr>
        <w:spacing w:before="60" w:after="60" w:line="240" w:lineRule="auto"/>
      </w:pPr>
      <w:r>
        <w:t xml:space="preserve">When completing an early reassessment. </w:t>
      </w:r>
    </w:p>
    <w:p w14:paraId="0BFD32D2" w14:textId="77777777" w:rsidR="004D7609" w:rsidRDefault="004D7609" w:rsidP="004D7609">
      <w:pPr>
        <w:pStyle w:val="ListParagraph"/>
        <w:numPr>
          <w:ilvl w:val="2"/>
          <w:numId w:val="27"/>
        </w:numPr>
        <w:spacing w:before="60" w:after="60" w:line="240" w:lineRule="auto"/>
      </w:pPr>
      <w:r>
        <w:t xml:space="preserve">Update </w:t>
      </w:r>
      <w:r w:rsidRPr="00D66246">
        <w:rPr>
          <w:i/>
          <w:iCs/>
        </w:rPr>
        <w:t>To Date</w:t>
      </w:r>
      <w:r>
        <w:t xml:space="preserve"> to 1 day prior to your new span’s start date. </w:t>
      </w:r>
    </w:p>
    <w:p w14:paraId="0B935E3C" w14:textId="77777777" w:rsidR="004D7609" w:rsidRDefault="004D7609" w:rsidP="004D7609">
      <w:pPr>
        <w:pStyle w:val="ListParagraph"/>
        <w:numPr>
          <w:ilvl w:val="2"/>
          <w:numId w:val="27"/>
        </w:numPr>
        <w:spacing w:before="60" w:after="60" w:line="240" w:lineRule="auto"/>
      </w:pPr>
      <w:r w:rsidRPr="00174223">
        <w:rPr>
          <w:i/>
          <w:iCs/>
        </w:rPr>
        <w:t xml:space="preserve">Total Units Authorized </w:t>
      </w:r>
      <w:r>
        <w:t>should automatically update.</w:t>
      </w:r>
    </w:p>
    <w:p w14:paraId="2F92E343" w14:textId="300E2C0D" w:rsidR="004D7609" w:rsidRDefault="004D7609" w:rsidP="004D7609">
      <w:pPr>
        <w:pStyle w:val="ListParagraph"/>
        <w:numPr>
          <w:ilvl w:val="2"/>
          <w:numId w:val="27"/>
        </w:numPr>
        <w:spacing w:before="60" w:after="60" w:line="240" w:lineRule="auto"/>
      </w:pPr>
      <w:r>
        <w:t xml:space="preserve">Add an explanation for why </w:t>
      </w:r>
      <w:r w:rsidR="00DD1E92">
        <w:t xml:space="preserve">the </w:t>
      </w:r>
      <w:r>
        <w:t xml:space="preserve">auth is being amended in the </w:t>
      </w:r>
      <w:r w:rsidRPr="00AF2745">
        <w:rPr>
          <w:i/>
          <w:iCs/>
        </w:rPr>
        <w:t>Service Description</w:t>
      </w:r>
      <w:r>
        <w:rPr>
          <w:i/>
          <w:iCs/>
        </w:rPr>
        <w:t xml:space="preserve"> </w:t>
      </w:r>
      <w:r>
        <w:t xml:space="preserve">field. Example: </w:t>
      </w:r>
      <w:r w:rsidRPr="002635E2">
        <w:rPr>
          <w:i/>
          <w:iCs/>
        </w:rPr>
        <w:t>Amending due to early reassessment.</w:t>
      </w:r>
      <w:r>
        <w:t xml:space="preserve"> This tells the Bridgeview team why you made this change.</w:t>
      </w:r>
    </w:p>
    <w:p w14:paraId="31255569" w14:textId="2E1F48D3" w:rsidR="004D7609" w:rsidRDefault="004D7609" w:rsidP="004D7609">
      <w:pPr>
        <w:pStyle w:val="ListParagraph"/>
        <w:numPr>
          <w:ilvl w:val="2"/>
          <w:numId w:val="27"/>
        </w:numPr>
        <w:spacing w:before="60" w:after="60" w:line="240" w:lineRule="auto"/>
      </w:pPr>
      <w:r>
        <w:t>A DTR is not required if services are not being denied, terminated, or reduced.</w:t>
      </w:r>
    </w:p>
    <w:p w14:paraId="004A6F58" w14:textId="6FF6D9FD" w:rsidR="004D7609" w:rsidRDefault="004D7609" w:rsidP="004D7609">
      <w:pPr>
        <w:pStyle w:val="ListParagraph"/>
        <w:numPr>
          <w:ilvl w:val="1"/>
          <w:numId w:val="27"/>
        </w:numPr>
        <w:spacing w:before="60" w:after="60" w:line="240" w:lineRule="auto"/>
      </w:pPr>
      <w:r>
        <w:t>Increasing units.</w:t>
      </w:r>
    </w:p>
    <w:p w14:paraId="16019EE6" w14:textId="7C8CBA3C" w:rsidR="004D7609" w:rsidRPr="004D7609" w:rsidRDefault="004D7609" w:rsidP="004D7609">
      <w:pPr>
        <w:pStyle w:val="ListParagraph"/>
        <w:numPr>
          <w:ilvl w:val="2"/>
          <w:numId w:val="27"/>
        </w:numPr>
        <w:spacing w:before="60" w:after="60" w:line="240" w:lineRule="auto"/>
      </w:pPr>
      <w:r w:rsidRPr="004D7609">
        <w:t xml:space="preserve">Refer to </w:t>
      </w:r>
      <w:r>
        <w:t xml:space="preserve">the </w:t>
      </w:r>
      <w:hyperlink r:id="rId15" w:history="1">
        <w:r w:rsidRPr="0057241F">
          <w:rPr>
            <w:rStyle w:val="Hyperlink"/>
          </w:rPr>
          <w:t>Bridgeview User Guide</w:t>
        </w:r>
      </w:hyperlink>
      <w:r>
        <w:t>, specifically</w:t>
      </w:r>
      <w:r w:rsidRPr="004D7609">
        <w:t xml:space="preserve"> heading </w:t>
      </w:r>
      <w:r w:rsidRPr="004D7609">
        <w:rPr>
          <w:i/>
          <w:iCs/>
        </w:rPr>
        <w:t>How to Increase Total Authorized Units</w:t>
      </w:r>
      <w:r w:rsidRPr="004D7609">
        <w:t xml:space="preserve"> for </w:t>
      </w:r>
      <w:r>
        <w:t>two</w:t>
      </w:r>
      <w:r w:rsidRPr="004D7609">
        <w:t xml:space="preserve"> options t</w:t>
      </w:r>
      <w:r>
        <w:t>o accomplish this.</w:t>
      </w:r>
    </w:p>
    <w:p w14:paraId="4C19D3E3" w14:textId="6DDB26B1" w:rsidR="004D7609" w:rsidRDefault="004D7609" w:rsidP="004D7609">
      <w:pPr>
        <w:pStyle w:val="ListParagraph"/>
        <w:numPr>
          <w:ilvl w:val="2"/>
          <w:numId w:val="27"/>
        </w:numPr>
        <w:spacing w:before="60" w:after="60" w:line="240" w:lineRule="auto"/>
      </w:pPr>
      <w:r>
        <w:t xml:space="preserve">For either option, be sure to add an explanation for why auth is being amended in the </w:t>
      </w:r>
      <w:r w:rsidRPr="00AF2745">
        <w:rPr>
          <w:i/>
          <w:iCs/>
        </w:rPr>
        <w:t>Service Description</w:t>
      </w:r>
      <w:r>
        <w:rPr>
          <w:i/>
          <w:iCs/>
        </w:rPr>
        <w:t xml:space="preserve"> </w:t>
      </w:r>
      <w:r>
        <w:t xml:space="preserve">field. Example: </w:t>
      </w:r>
      <w:r w:rsidRPr="002635E2">
        <w:rPr>
          <w:i/>
          <w:iCs/>
        </w:rPr>
        <w:t>Increasing SNV units due to recent hospitalization.</w:t>
      </w:r>
      <w:r>
        <w:t xml:space="preserve"> This tells the Bridgeview team why you made this change.</w:t>
      </w:r>
    </w:p>
    <w:p w14:paraId="15E2883B" w14:textId="4FB22EB3" w:rsidR="004D7609" w:rsidRDefault="004D7609" w:rsidP="004D7609">
      <w:pPr>
        <w:pStyle w:val="ListParagraph"/>
        <w:numPr>
          <w:ilvl w:val="1"/>
          <w:numId w:val="27"/>
        </w:numPr>
        <w:spacing w:before="60" w:after="60" w:line="240" w:lineRule="auto"/>
      </w:pPr>
      <w:r>
        <w:t xml:space="preserve">If you made a mistake entering an authorization and discover the mistake before claims have been paid. </w:t>
      </w:r>
    </w:p>
    <w:p w14:paraId="1A555448" w14:textId="337942DB" w:rsidR="004D7609" w:rsidRPr="004D7609" w:rsidRDefault="004D7609" w:rsidP="004D7609">
      <w:pPr>
        <w:pStyle w:val="ListParagraph"/>
        <w:numPr>
          <w:ilvl w:val="2"/>
          <w:numId w:val="27"/>
        </w:numPr>
        <w:spacing w:before="60" w:after="60" w:line="240" w:lineRule="auto"/>
      </w:pPr>
      <w:r w:rsidRPr="004D7609">
        <w:t xml:space="preserve">Refer to </w:t>
      </w:r>
      <w:r>
        <w:t xml:space="preserve">the </w:t>
      </w:r>
      <w:hyperlink r:id="rId16" w:history="1">
        <w:r w:rsidRPr="0057241F">
          <w:rPr>
            <w:rStyle w:val="Hyperlink"/>
          </w:rPr>
          <w:t>Bridgeview User Guide</w:t>
        </w:r>
      </w:hyperlink>
      <w:r>
        <w:t>, specifically</w:t>
      </w:r>
      <w:r w:rsidRPr="004D7609">
        <w:t xml:space="preserve"> heading</w:t>
      </w:r>
      <w:r>
        <w:t xml:space="preserve"> </w:t>
      </w:r>
      <w:r>
        <w:rPr>
          <w:i/>
          <w:iCs/>
        </w:rPr>
        <w:t>Closing Service Agreement entered in error or no longer needed; Claims Have Not Been Paid.</w:t>
      </w:r>
    </w:p>
    <w:p w14:paraId="43A8FE08" w14:textId="38344FA6" w:rsidR="004D7609" w:rsidRDefault="004D7609" w:rsidP="004D7609">
      <w:pPr>
        <w:pStyle w:val="ListParagraph"/>
        <w:numPr>
          <w:ilvl w:val="2"/>
          <w:numId w:val="27"/>
        </w:numPr>
        <w:spacing w:before="60" w:after="60" w:line="240" w:lineRule="auto"/>
      </w:pPr>
      <w:r>
        <w:t xml:space="preserve">Be sure to add an explanation for why </w:t>
      </w:r>
      <w:r w:rsidR="00DD1E92">
        <w:t xml:space="preserve">the </w:t>
      </w:r>
      <w:r>
        <w:t xml:space="preserve">auth is being amended in the </w:t>
      </w:r>
      <w:r w:rsidRPr="00AF2745">
        <w:rPr>
          <w:i/>
          <w:iCs/>
        </w:rPr>
        <w:t>Service Description</w:t>
      </w:r>
      <w:r>
        <w:rPr>
          <w:i/>
          <w:iCs/>
        </w:rPr>
        <w:t xml:space="preserve"> </w:t>
      </w:r>
      <w:r>
        <w:t xml:space="preserve">field. Example: </w:t>
      </w:r>
      <w:r w:rsidRPr="002635E2">
        <w:rPr>
          <w:i/>
          <w:iCs/>
        </w:rPr>
        <w:t>Errors in SA so ending to correct.</w:t>
      </w:r>
      <w:r>
        <w:t xml:space="preserve"> This tells the Bridgeview team why you made this change.</w:t>
      </w:r>
    </w:p>
    <w:p w14:paraId="452654C5" w14:textId="411ADE6D" w:rsidR="004D7609" w:rsidRDefault="004D7609" w:rsidP="004D7609">
      <w:pPr>
        <w:pStyle w:val="ListParagraph"/>
        <w:numPr>
          <w:ilvl w:val="2"/>
          <w:numId w:val="27"/>
        </w:numPr>
        <w:spacing w:before="60" w:after="60" w:line="240" w:lineRule="auto"/>
      </w:pPr>
      <w:r>
        <w:t xml:space="preserve">*If you discover a mistake after claims have been paid, or if you are unsure if claims have been paid, please email </w:t>
      </w:r>
      <w:hyperlink r:id="rId17" w:history="1">
        <w:r w:rsidRPr="00E850E4">
          <w:rPr>
            <w:rStyle w:val="Hyperlink"/>
          </w:rPr>
          <w:t>Bridgeview.Service.Agreements@bluecrossmn.com</w:t>
        </w:r>
      </w:hyperlink>
      <w:r>
        <w:t xml:space="preserve"> </w:t>
      </w:r>
      <w:r w:rsidRPr="00DD1E92">
        <w:rPr>
          <w:b/>
          <w:bCs/>
        </w:rPr>
        <w:t>before</w:t>
      </w:r>
      <w:r>
        <w:t xml:space="preserve"> making updates.  </w:t>
      </w:r>
    </w:p>
    <w:p w14:paraId="6A8ED791" w14:textId="77777777" w:rsidR="004D7609" w:rsidRDefault="004D7609" w:rsidP="004D7609">
      <w:pPr>
        <w:pStyle w:val="ListParagraph"/>
        <w:numPr>
          <w:ilvl w:val="1"/>
          <w:numId w:val="27"/>
        </w:numPr>
        <w:spacing w:before="60" w:after="60" w:line="240" w:lineRule="auto"/>
      </w:pPr>
      <w:r w:rsidRPr="0057241F">
        <w:rPr>
          <w:b/>
          <w:bCs/>
        </w:rPr>
        <w:t>For all other scenarios</w:t>
      </w:r>
      <w:r>
        <w:t xml:space="preserve">, where you believe you should amend an authorization, please send an encrypted email to </w:t>
      </w:r>
      <w:hyperlink r:id="rId18" w:history="1">
        <w:r w:rsidRPr="00E850E4">
          <w:rPr>
            <w:rStyle w:val="Hyperlink"/>
          </w:rPr>
          <w:t>Bridgeview.Service.Agreements@bluecrossmn.com</w:t>
        </w:r>
      </w:hyperlink>
      <w:r>
        <w:t xml:space="preserve">. </w:t>
      </w:r>
    </w:p>
    <w:p w14:paraId="70231F7E" w14:textId="2A20757C" w:rsidR="009B7F36" w:rsidRPr="004D7609" w:rsidRDefault="004D7609" w:rsidP="009B7F36">
      <w:pPr>
        <w:pStyle w:val="ListParagraph"/>
        <w:numPr>
          <w:ilvl w:val="2"/>
          <w:numId w:val="27"/>
        </w:numPr>
        <w:spacing w:before="60" w:after="60" w:line="240" w:lineRule="auto"/>
      </w:pPr>
      <w:r>
        <w:t>A member of the Bridgeview team will advise you on how best to manage your unique situation.</w:t>
      </w:r>
    </w:p>
    <w:p w14:paraId="20100CF1" w14:textId="77777777" w:rsidR="009B7F36" w:rsidRPr="004D7609" w:rsidRDefault="009B7F36" w:rsidP="009B7F36"/>
    <w:sectPr w:rsidR="009B7F36" w:rsidRPr="004D7609" w:rsidSect="00F145AB">
      <w:headerReference w:type="default" r:id="rId19"/>
      <w:footerReference w:type="default" r:id="rId20"/>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289E" w14:textId="77777777" w:rsidR="00736D30" w:rsidRDefault="00736D30" w:rsidP="00BB1FFD">
      <w:pPr>
        <w:spacing w:after="0" w:line="240" w:lineRule="auto"/>
      </w:pPr>
      <w:r>
        <w:separator/>
      </w:r>
    </w:p>
  </w:endnote>
  <w:endnote w:type="continuationSeparator" w:id="0">
    <w:p w14:paraId="24484168" w14:textId="77777777" w:rsidR="00736D30" w:rsidRDefault="00736D30" w:rsidP="00BB1FFD">
      <w:pPr>
        <w:spacing w:after="0" w:line="240" w:lineRule="auto"/>
      </w:pPr>
      <w:r>
        <w:continuationSeparator/>
      </w:r>
    </w:p>
  </w:endnote>
  <w:endnote w:type="continuationNotice" w:id="1">
    <w:p w14:paraId="7D35A943" w14:textId="77777777" w:rsidR="00736D30" w:rsidRDefault="00736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44A4" w14:textId="77777777" w:rsidR="00736D30" w:rsidRDefault="00736D30" w:rsidP="00BB1FFD">
      <w:pPr>
        <w:spacing w:after="0" w:line="240" w:lineRule="auto"/>
      </w:pPr>
      <w:r>
        <w:separator/>
      </w:r>
    </w:p>
  </w:footnote>
  <w:footnote w:type="continuationSeparator" w:id="0">
    <w:p w14:paraId="562488B0" w14:textId="77777777" w:rsidR="00736D30" w:rsidRDefault="00736D30" w:rsidP="00BB1FFD">
      <w:pPr>
        <w:spacing w:after="0" w:line="240" w:lineRule="auto"/>
      </w:pPr>
      <w:r>
        <w:continuationSeparator/>
      </w:r>
    </w:p>
  </w:footnote>
  <w:footnote w:type="continuationNotice" w:id="1">
    <w:p w14:paraId="5CDD6DA3" w14:textId="77777777" w:rsidR="00736D30" w:rsidRDefault="00736D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77681905" w:rsidR="00AF1D04" w:rsidRPr="00AF1D04" w:rsidRDefault="004D7609"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11-12-2025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77681905" w:rsidR="00AF1D04" w:rsidRPr="00AF1D04" w:rsidRDefault="004D7609"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11-12-2025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0031D"/>
    <w:multiLevelType w:val="hybridMultilevel"/>
    <w:tmpl w:val="86980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2"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18"/>
  </w:num>
  <w:num w:numId="2" w16cid:durableId="1797331095">
    <w:abstractNumId w:val="11"/>
  </w:num>
  <w:num w:numId="3" w16cid:durableId="214856249">
    <w:abstractNumId w:val="14"/>
  </w:num>
  <w:num w:numId="4" w16cid:durableId="1499616861">
    <w:abstractNumId w:val="21"/>
  </w:num>
  <w:num w:numId="5" w16cid:durableId="2073769093">
    <w:abstractNumId w:val="1"/>
  </w:num>
  <w:num w:numId="6" w16cid:durableId="18362904">
    <w:abstractNumId w:val="25"/>
  </w:num>
  <w:num w:numId="7" w16cid:durableId="495341996">
    <w:abstractNumId w:val="26"/>
  </w:num>
  <w:num w:numId="8" w16cid:durableId="195433800">
    <w:abstractNumId w:val="5"/>
  </w:num>
  <w:num w:numId="9" w16cid:durableId="2131320421">
    <w:abstractNumId w:val="15"/>
  </w:num>
  <w:num w:numId="10" w16cid:durableId="292836173">
    <w:abstractNumId w:val="12"/>
  </w:num>
  <w:num w:numId="11" w16cid:durableId="590047722">
    <w:abstractNumId w:val="7"/>
  </w:num>
  <w:num w:numId="12" w16cid:durableId="1674527007">
    <w:abstractNumId w:val="10"/>
  </w:num>
  <w:num w:numId="13" w16cid:durableId="1073697651">
    <w:abstractNumId w:val="8"/>
  </w:num>
  <w:num w:numId="14" w16cid:durableId="1167403472">
    <w:abstractNumId w:val="19"/>
  </w:num>
  <w:num w:numId="15" w16cid:durableId="1282767395">
    <w:abstractNumId w:val="22"/>
  </w:num>
  <w:num w:numId="16" w16cid:durableId="974333673">
    <w:abstractNumId w:val="13"/>
  </w:num>
  <w:num w:numId="17" w16cid:durableId="364520162">
    <w:abstractNumId w:val="6"/>
  </w:num>
  <w:num w:numId="18" w16cid:durableId="1117332499">
    <w:abstractNumId w:val="9"/>
  </w:num>
  <w:num w:numId="19" w16cid:durableId="2132741991">
    <w:abstractNumId w:val="4"/>
  </w:num>
  <w:num w:numId="20" w16cid:durableId="133525190">
    <w:abstractNumId w:val="23"/>
  </w:num>
  <w:num w:numId="21" w16cid:durableId="2101565973">
    <w:abstractNumId w:val="20"/>
  </w:num>
  <w:num w:numId="22" w16cid:durableId="580287051">
    <w:abstractNumId w:val="16"/>
  </w:num>
  <w:num w:numId="23" w16cid:durableId="1795637695">
    <w:abstractNumId w:val="24"/>
  </w:num>
  <w:num w:numId="24" w16cid:durableId="1165973169">
    <w:abstractNumId w:val="0"/>
  </w:num>
  <w:num w:numId="25" w16cid:durableId="1790397476">
    <w:abstractNumId w:val="17"/>
  </w:num>
  <w:num w:numId="26" w16cid:durableId="765073409">
    <w:abstractNumId w:val="3"/>
  </w:num>
  <w:num w:numId="27" w16cid:durableId="404497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64372"/>
    <w:rsid w:val="000673E7"/>
    <w:rsid w:val="00095CEA"/>
    <w:rsid w:val="000A5082"/>
    <w:rsid w:val="000A5D07"/>
    <w:rsid w:val="000B3E7D"/>
    <w:rsid w:val="000C2E61"/>
    <w:rsid w:val="000D26FC"/>
    <w:rsid w:val="000F0C07"/>
    <w:rsid w:val="00100733"/>
    <w:rsid w:val="00101EAA"/>
    <w:rsid w:val="001377AB"/>
    <w:rsid w:val="00146993"/>
    <w:rsid w:val="00150443"/>
    <w:rsid w:val="00156EEA"/>
    <w:rsid w:val="00163839"/>
    <w:rsid w:val="00174F3D"/>
    <w:rsid w:val="001759D1"/>
    <w:rsid w:val="0017655A"/>
    <w:rsid w:val="00177274"/>
    <w:rsid w:val="001D2782"/>
    <w:rsid w:val="001E1085"/>
    <w:rsid w:val="001F16DF"/>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B36E2"/>
    <w:rsid w:val="002D7C3C"/>
    <w:rsid w:val="002E040A"/>
    <w:rsid w:val="002E4287"/>
    <w:rsid w:val="002E7252"/>
    <w:rsid w:val="002F63D4"/>
    <w:rsid w:val="00323095"/>
    <w:rsid w:val="003901BE"/>
    <w:rsid w:val="003A12B5"/>
    <w:rsid w:val="003B5970"/>
    <w:rsid w:val="003C1F8E"/>
    <w:rsid w:val="003D042A"/>
    <w:rsid w:val="003E13DE"/>
    <w:rsid w:val="003E6579"/>
    <w:rsid w:val="003F29D6"/>
    <w:rsid w:val="003F6B90"/>
    <w:rsid w:val="00401A72"/>
    <w:rsid w:val="0044731C"/>
    <w:rsid w:val="0047758D"/>
    <w:rsid w:val="00490FCE"/>
    <w:rsid w:val="004B16C7"/>
    <w:rsid w:val="004D30F0"/>
    <w:rsid w:val="004D7609"/>
    <w:rsid w:val="004F1E33"/>
    <w:rsid w:val="00500D27"/>
    <w:rsid w:val="0051093B"/>
    <w:rsid w:val="005201CF"/>
    <w:rsid w:val="005216A1"/>
    <w:rsid w:val="0053159F"/>
    <w:rsid w:val="00540B8C"/>
    <w:rsid w:val="005413CA"/>
    <w:rsid w:val="0057241F"/>
    <w:rsid w:val="0058539E"/>
    <w:rsid w:val="00587B08"/>
    <w:rsid w:val="005B0C97"/>
    <w:rsid w:val="005B2F63"/>
    <w:rsid w:val="005C4385"/>
    <w:rsid w:val="005C7FFC"/>
    <w:rsid w:val="005D6BC6"/>
    <w:rsid w:val="005E07CD"/>
    <w:rsid w:val="00605891"/>
    <w:rsid w:val="00623BBA"/>
    <w:rsid w:val="00645D13"/>
    <w:rsid w:val="00646AC2"/>
    <w:rsid w:val="006579A0"/>
    <w:rsid w:val="00661EAF"/>
    <w:rsid w:val="00662F2A"/>
    <w:rsid w:val="00667838"/>
    <w:rsid w:val="00684C03"/>
    <w:rsid w:val="00686352"/>
    <w:rsid w:val="0069006A"/>
    <w:rsid w:val="00690495"/>
    <w:rsid w:val="00696BE2"/>
    <w:rsid w:val="006B5D91"/>
    <w:rsid w:val="006E6429"/>
    <w:rsid w:val="00720E1E"/>
    <w:rsid w:val="007260E4"/>
    <w:rsid w:val="00736979"/>
    <w:rsid w:val="00736D30"/>
    <w:rsid w:val="00737264"/>
    <w:rsid w:val="0073769D"/>
    <w:rsid w:val="00763D00"/>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57F8D"/>
    <w:rsid w:val="0086469F"/>
    <w:rsid w:val="00871F80"/>
    <w:rsid w:val="00885E21"/>
    <w:rsid w:val="00887099"/>
    <w:rsid w:val="008877C2"/>
    <w:rsid w:val="008910B2"/>
    <w:rsid w:val="008C06C7"/>
    <w:rsid w:val="008C610E"/>
    <w:rsid w:val="008E3F08"/>
    <w:rsid w:val="008E6751"/>
    <w:rsid w:val="008F5F4B"/>
    <w:rsid w:val="00902422"/>
    <w:rsid w:val="00932CA6"/>
    <w:rsid w:val="00954AF8"/>
    <w:rsid w:val="00963586"/>
    <w:rsid w:val="00963F3F"/>
    <w:rsid w:val="00964FC8"/>
    <w:rsid w:val="00981E73"/>
    <w:rsid w:val="009869A9"/>
    <w:rsid w:val="00986E5D"/>
    <w:rsid w:val="009B1374"/>
    <w:rsid w:val="009B2F51"/>
    <w:rsid w:val="009B7F36"/>
    <w:rsid w:val="00A1065A"/>
    <w:rsid w:val="00A16F35"/>
    <w:rsid w:val="00A24223"/>
    <w:rsid w:val="00A43DD3"/>
    <w:rsid w:val="00A51367"/>
    <w:rsid w:val="00A7017F"/>
    <w:rsid w:val="00A771B2"/>
    <w:rsid w:val="00A9292A"/>
    <w:rsid w:val="00AA1C20"/>
    <w:rsid w:val="00AB049B"/>
    <w:rsid w:val="00AB2016"/>
    <w:rsid w:val="00AC4739"/>
    <w:rsid w:val="00AD5757"/>
    <w:rsid w:val="00AE5599"/>
    <w:rsid w:val="00AF1D04"/>
    <w:rsid w:val="00AF78A5"/>
    <w:rsid w:val="00B33AEF"/>
    <w:rsid w:val="00B52F75"/>
    <w:rsid w:val="00B60565"/>
    <w:rsid w:val="00B63110"/>
    <w:rsid w:val="00B81F54"/>
    <w:rsid w:val="00B91169"/>
    <w:rsid w:val="00BB1FFD"/>
    <w:rsid w:val="00BD6DF2"/>
    <w:rsid w:val="00C03345"/>
    <w:rsid w:val="00C07123"/>
    <w:rsid w:val="00C20357"/>
    <w:rsid w:val="00C30B6E"/>
    <w:rsid w:val="00C40B16"/>
    <w:rsid w:val="00C41AB5"/>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E371B"/>
    <w:rsid w:val="00CE5DE2"/>
    <w:rsid w:val="00CE63EA"/>
    <w:rsid w:val="00CF49F1"/>
    <w:rsid w:val="00CF6B62"/>
    <w:rsid w:val="00D3050B"/>
    <w:rsid w:val="00D36E7E"/>
    <w:rsid w:val="00D5294C"/>
    <w:rsid w:val="00D60A33"/>
    <w:rsid w:val="00D62FFC"/>
    <w:rsid w:val="00D66CF4"/>
    <w:rsid w:val="00D96A36"/>
    <w:rsid w:val="00DD1E92"/>
    <w:rsid w:val="00DF4E3A"/>
    <w:rsid w:val="00E00AB5"/>
    <w:rsid w:val="00E11DD3"/>
    <w:rsid w:val="00E47607"/>
    <w:rsid w:val="00EC4AA6"/>
    <w:rsid w:val="00EC69E5"/>
    <w:rsid w:val="00F04D76"/>
    <w:rsid w:val="00F122CE"/>
    <w:rsid w:val="00F145AB"/>
    <w:rsid w:val="00F2197B"/>
    <w:rsid w:val="00F2265D"/>
    <w:rsid w:val="00F2549E"/>
    <w:rsid w:val="00F31E94"/>
    <w:rsid w:val="00F36B5F"/>
    <w:rsid w:val="00F531F6"/>
    <w:rsid w:val="00F5483A"/>
    <w:rsid w:val="00F610EE"/>
    <w:rsid w:val="00F77805"/>
    <w:rsid w:val="00F93A7E"/>
    <w:rsid w:val="00FA31F9"/>
    <w:rsid w:val="00FA7110"/>
    <w:rsid w:val="00FC0731"/>
    <w:rsid w:val="00FC07D6"/>
    <w:rsid w:val="00FC5F7D"/>
    <w:rsid w:val="00FD0EB1"/>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Bridgeview.Service.Agreements@bluecrossmn.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WProviders@bluecrossmn.com" TargetMode="External"/><Relationship Id="rId17" Type="http://schemas.openxmlformats.org/officeDocument/2006/relationships/hyperlink" Target="mailto:Bridgeview.Service.Agreements@bluecrossmn.com" TargetMode="External"/><Relationship Id="rId2" Type="http://schemas.openxmlformats.org/officeDocument/2006/relationships/customXml" Target="../customXml/item2.xml"/><Relationship Id="rId16" Type="http://schemas.openxmlformats.org/officeDocument/2006/relationships/hyperlink" Target="https://carecoordination.bluecrossmn.com/wp-content/uploads/2025/10/Bridgeview-Care-Coordination-User-Guide-FINAL-10-3-202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carecoordination.bluecrossmn.com/wp-content/uploads/2025/10/Bridgeview-Care-Coordination-User-Guide-FINAL-10-3-2025.pdf" TargetMode="External"/><Relationship Id="rId10" Type="http://schemas.openxmlformats.org/officeDocument/2006/relationships/hyperlink" Target="https://carecoordination.bluecrossmn.com/care-coordinatio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a0n154\AppData\Local\Microsoft\Windows\INetCache\Content.Outlook\QCM18POL\Care%20Coordination%20websi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e11f96fe5b0e4b32df24ed5be2918997">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79074a1ba7168694b543a793622d5b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2596E-D5AA-4075-98B2-52BC3EC69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3.xml><?xml version="1.0" encoding="utf-8"?>
<ds:datastoreItem xmlns:ds="http://schemas.openxmlformats.org/officeDocument/2006/customXml" ds:itemID="{15A61773-619F-4330-AB9A-FE94C29C0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592</Words>
  <Characters>3191</Characters>
  <Application>Microsoft Office Word</Application>
  <DocSecurity>8</DocSecurity>
  <Lines>75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Ness, Cate</cp:lastModifiedBy>
  <cp:revision>8</cp:revision>
  <cp:lastPrinted>2023-04-13T19:37:00Z</cp:lastPrinted>
  <dcterms:created xsi:type="dcterms:W3CDTF">2025-11-12T20:14:00Z</dcterms:created>
  <dcterms:modified xsi:type="dcterms:W3CDTF">2025-11-12T22:24:00Z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