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BDB5" w14:textId="77777777" w:rsidR="00EA7CC0" w:rsidRDefault="00EA7CC0" w:rsidP="00EA7CC0">
      <w:pPr>
        <w:pStyle w:val="Title"/>
        <w:jc w:val="center"/>
        <w:rPr>
          <w:rStyle w:val="IntenseReference"/>
          <w:color w:val="0070C0"/>
          <w:sz w:val="40"/>
          <w:szCs w:val="40"/>
        </w:rPr>
      </w:pPr>
    </w:p>
    <w:p w14:paraId="7D176613" w14:textId="337CD798" w:rsidR="00490550" w:rsidRPr="00EA7CC0" w:rsidRDefault="00CB7F7B" w:rsidP="00EA7CC0">
      <w:pPr>
        <w:pStyle w:val="Title"/>
        <w:jc w:val="center"/>
        <w:rPr>
          <w:b/>
          <w:bCs/>
          <w:smallCaps/>
          <w:color w:val="0070C0"/>
          <w:spacing w:val="5"/>
          <w:sz w:val="40"/>
          <w:szCs w:val="40"/>
        </w:rPr>
      </w:pPr>
      <w:r>
        <w:rPr>
          <w:rStyle w:val="IntenseReference"/>
          <w:color w:val="0070C0"/>
          <w:sz w:val="40"/>
          <w:szCs w:val="40"/>
        </w:rPr>
        <w:t>weekly communications</w:t>
      </w:r>
    </w:p>
    <w:p w14:paraId="51344C6F" w14:textId="3CEB0CB5" w:rsidR="00CB7F7B" w:rsidRPr="00EA7CC0" w:rsidRDefault="002B0B39" w:rsidP="00CB7F7B">
      <w:r w:rsidRPr="00EA7CC0">
        <w:t>We received feedback from many Care Coordinators that they would prefer to receive our weekly Communications email earlier in the week vs. Fridays. We will now be sending on Wednesdays.</w:t>
      </w:r>
    </w:p>
    <w:p w14:paraId="34A640D2" w14:textId="77777777" w:rsidR="002B0B39" w:rsidRDefault="002B0B39" w:rsidP="00CB7F7B"/>
    <w:p w14:paraId="071C0308" w14:textId="39AA8028" w:rsidR="00490550" w:rsidRPr="00EA7CC0" w:rsidRDefault="002B0B39" w:rsidP="00EA7CC0">
      <w:pPr>
        <w:pStyle w:val="Title"/>
        <w:jc w:val="center"/>
        <w:rPr>
          <w:b/>
          <w:bCs/>
          <w:smallCaps/>
          <w:color w:val="0070C0"/>
          <w:spacing w:val="5"/>
          <w:sz w:val="40"/>
          <w:szCs w:val="40"/>
        </w:rPr>
      </w:pPr>
      <w:r>
        <w:rPr>
          <w:rStyle w:val="IntenseReference"/>
          <w:color w:val="0070C0"/>
          <w:sz w:val="40"/>
          <w:szCs w:val="40"/>
        </w:rPr>
        <w:t xml:space="preserve">guidelines </w:t>
      </w:r>
      <w:r w:rsidR="00490550">
        <w:rPr>
          <w:rStyle w:val="IntenseReference"/>
          <w:color w:val="0070C0"/>
          <w:sz w:val="40"/>
          <w:szCs w:val="40"/>
        </w:rPr>
        <w:t>process update</w:t>
      </w:r>
    </w:p>
    <w:p w14:paraId="2FA356E8" w14:textId="157E9F32" w:rsidR="00B82306" w:rsidRPr="00EA7CC0" w:rsidRDefault="00790870" w:rsidP="002B0B39">
      <w:r w:rsidRPr="00EA7CC0">
        <w:t>To</w:t>
      </w:r>
      <w:r w:rsidR="00982632" w:rsidRPr="00EA7CC0">
        <w:t xml:space="preserve"> align with any process/policy updates sent via our weekly Communiques, </w:t>
      </w:r>
      <w:r w:rsidRPr="00EA7CC0">
        <w:t>we will be updating our Guidelines (if applicable) on the first of every month going forward. We will notify you if there are any change</w:t>
      </w:r>
      <w:r w:rsidR="00B06AA0" w:rsidRPr="00EA7CC0">
        <w:t xml:space="preserve">s. </w:t>
      </w:r>
      <w:r w:rsidR="008B2805" w:rsidRPr="00EA7CC0">
        <w:t xml:space="preserve">Any changes in the monthly </w:t>
      </w:r>
      <w:r w:rsidR="00630798">
        <w:t xml:space="preserve">Guidelines’ </w:t>
      </w:r>
      <w:r w:rsidR="008B2805" w:rsidRPr="00EA7CC0">
        <w:t>updates will be</w:t>
      </w:r>
      <w:r w:rsidR="00630798">
        <w:t xml:space="preserve"> made</w:t>
      </w:r>
      <w:r w:rsidR="008B2805" w:rsidRPr="00EA7CC0">
        <w:t xml:space="preserve"> in </w:t>
      </w:r>
      <w:r w:rsidR="008B2805" w:rsidRPr="00EA7CC0">
        <w:rPr>
          <w:color w:val="FF0000"/>
        </w:rPr>
        <w:t>red font</w:t>
      </w:r>
      <w:r w:rsidR="008B2805" w:rsidRPr="00EA7CC0">
        <w:t xml:space="preserve"> accessible via clicking on the </w:t>
      </w:r>
      <w:r w:rsidR="008B2805" w:rsidRPr="00630798">
        <w:rPr>
          <w:color w:val="FF0000"/>
        </w:rPr>
        <w:t>red sections</w:t>
      </w:r>
      <w:r w:rsidR="008B2805" w:rsidRPr="00EA7CC0">
        <w:t xml:space="preserve"> in the Table of Contents and throughout the documents to make it easier to review what has changed. </w:t>
      </w:r>
    </w:p>
    <w:p w14:paraId="2F33C86A" w14:textId="301D0758" w:rsidR="00C86F53" w:rsidRDefault="00B82306" w:rsidP="002B0B39">
      <w:r>
        <w:t xml:space="preserve">As a reminder, Guidelines are posted on the </w:t>
      </w:r>
      <w:hyperlink r:id="rId10" w:history="1">
        <w:r w:rsidRPr="00C86F53">
          <w:rPr>
            <w:rStyle w:val="Hyperlink"/>
          </w:rPr>
          <w:t>Care Coordination page</w:t>
        </w:r>
      </w:hyperlink>
      <w:r>
        <w:t xml:space="preserve"> of our website unde</w:t>
      </w:r>
      <w:r w:rsidR="00C86F53">
        <w:t>r GUIDELINES:</w:t>
      </w:r>
    </w:p>
    <w:p w14:paraId="3FC21DAD" w14:textId="56299339" w:rsidR="00490550" w:rsidRDefault="00C52A03" w:rsidP="002B0B39">
      <w:r>
        <w:rPr>
          <w:noProof/>
        </w:rPr>
        <w:drawing>
          <wp:inline distT="0" distB="0" distL="0" distR="0" wp14:anchorId="67B020CD" wp14:editId="2B5CB52B">
            <wp:extent cx="6858000" cy="706120"/>
            <wp:effectExtent l="0" t="0" r="0" b="0"/>
            <wp:docPr id="33982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706120"/>
                    </a:xfrm>
                    <a:prstGeom prst="rect">
                      <a:avLst/>
                    </a:prstGeom>
                    <a:noFill/>
                    <a:ln>
                      <a:noFill/>
                    </a:ln>
                  </pic:spPr>
                </pic:pic>
              </a:graphicData>
            </a:graphic>
          </wp:inline>
        </w:drawing>
      </w:r>
      <w:r w:rsidR="00C86F53">
        <w:t xml:space="preserve"> </w:t>
      </w:r>
    </w:p>
    <w:p w14:paraId="1634E653" w14:textId="6BF1419A" w:rsidR="00490550" w:rsidRPr="00EA7CC0" w:rsidRDefault="00490550" w:rsidP="00EA7CC0">
      <w:pPr>
        <w:pStyle w:val="Title"/>
        <w:jc w:val="center"/>
        <w:rPr>
          <w:b/>
          <w:bCs/>
          <w:smallCaps/>
          <w:color w:val="0070C0"/>
          <w:spacing w:val="5"/>
          <w:sz w:val="40"/>
          <w:szCs w:val="40"/>
        </w:rPr>
      </w:pPr>
      <w:r>
        <w:rPr>
          <w:rStyle w:val="IntenseReference"/>
          <w:color w:val="0070C0"/>
          <w:sz w:val="40"/>
          <w:szCs w:val="40"/>
        </w:rPr>
        <w:t>guidelines changes for November 1</w:t>
      </w:r>
      <w:r w:rsidRPr="00490550">
        <w:rPr>
          <w:rStyle w:val="IntenseReference"/>
          <w:color w:val="0070C0"/>
          <w:sz w:val="40"/>
          <w:szCs w:val="40"/>
          <w:vertAlign w:val="superscript"/>
        </w:rPr>
        <w:t>st</w:t>
      </w:r>
    </w:p>
    <w:p w14:paraId="7DD8FA86" w14:textId="6875DAC6" w:rsidR="00B82306" w:rsidRPr="00B82306" w:rsidRDefault="00EA7CC0" w:rsidP="00B82306">
      <w:pPr>
        <w:spacing w:beforeLines="50" w:before="120" w:after="0" w:line="240" w:lineRule="auto"/>
        <w:rPr>
          <w:b/>
          <w:bCs/>
          <w:color w:val="0070C0"/>
        </w:rPr>
      </w:pPr>
      <w:r w:rsidRPr="00A14C3B">
        <w:rPr>
          <w:b/>
          <w:bCs/>
          <w:color w:val="0070C0"/>
        </w:rPr>
        <w:t>Community Guidelines</w:t>
      </w:r>
    </w:p>
    <w:p w14:paraId="786434C0" w14:textId="1E25733D" w:rsidR="00B82306" w:rsidRPr="00D43948" w:rsidRDefault="00512318" w:rsidP="00B82306">
      <w:pPr>
        <w:pStyle w:val="ListParagraph"/>
        <w:numPr>
          <w:ilvl w:val="0"/>
          <w:numId w:val="27"/>
        </w:numPr>
      </w:pPr>
      <w:r w:rsidRPr="00EF5568">
        <w:rPr>
          <w:b/>
          <w:bCs/>
        </w:rPr>
        <w:t xml:space="preserve">Summary of </w:t>
      </w:r>
      <w:r w:rsidR="00EF5568" w:rsidRPr="00EF5568">
        <w:rPr>
          <w:b/>
          <w:bCs/>
        </w:rPr>
        <w:t>Requirements &amp; Timelines</w:t>
      </w:r>
      <w:r w:rsidR="00EF5568">
        <w:t xml:space="preserve"> grids: </w:t>
      </w:r>
      <w:r w:rsidR="00850A75">
        <w:t xml:space="preserve">in addition to the requirement to send the </w:t>
      </w:r>
      <w:r w:rsidR="00D43948" w:rsidRPr="00FF6750">
        <w:rPr>
          <w:rFonts w:cstheme="minorHAnsi"/>
          <w:i/>
          <w:iCs/>
          <w:szCs w:val="24"/>
        </w:rPr>
        <w:t>Support Plan Summary Letter – Intro to Primary Care Provider</w:t>
      </w:r>
      <w:r w:rsidR="00D43948">
        <w:rPr>
          <w:rFonts w:cstheme="minorHAnsi"/>
          <w:i/>
          <w:iCs/>
          <w:szCs w:val="24"/>
        </w:rPr>
        <w:t xml:space="preserve"> </w:t>
      </w:r>
      <w:r w:rsidR="00D43948">
        <w:rPr>
          <w:rFonts w:cstheme="minorHAnsi"/>
          <w:szCs w:val="24"/>
        </w:rPr>
        <w:t xml:space="preserve">letter within 90 days of an assessment, CC’s may also send a copy of the entire Support Plan if chosen by the member. </w:t>
      </w:r>
    </w:p>
    <w:p w14:paraId="50BC68D3" w14:textId="075A215A" w:rsidR="00D43948" w:rsidRDefault="00E82F6B" w:rsidP="00B82306">
      <w:pPr>
        <w:pStyle w:val="ListParagraph"/>
        <w:numPr>
          <w:ilvl w:val="0"/>
          <w:numId w:val="27"/>
        </w:numPr>
      </w:pPr>
      <w:r w:rsidRPr="007A1CAF">
        <w:rPr>
          <w:b/>
          <w:bCs/>
        </w:rPr>
        <w:t>End-of-year Support Plan Review:</w:t>
      </w:r>
      <w:r>
        <w:t xml:space="preserve"> </w:t>
      </w:r>
      <w:r w:rsidR="00557876">
        <w:t xml:space="preserve">updated guidance (as discussed during fall training) on two options for documenting </w:t>
      </w:r>
      <w:r w:rsidR="007A1CAF">
        <w:t xml:space="preserve">goal </w:t>
      </w:r>
      <w:r w:rsidR="00557876">
        <w:t>status</w:t>
      </w:r>
      <w:r w:rsidR="007A1CAF">
        <w:t>/outcomes</w:t>
      </w:r>
      <w:r w:rsidR="00557876">
        <w:t xml:space="preserve"> at reassessment.</w:t>
      </w:r>
    </w:p>
    <w:p w14:paraId="74AC1230" w14:textId="6DB34E84" w:rsidR="00F961AF" w:rsidRDefault="00F961AF" w:rsidP="00F961AF">
      <w:pPr>
        <w:pStyle w:val="ListParagraph"/>
        <w:numPr>
          <w:ilvl w:val="0"/>
          <w:numId w:val="27"/>
        </w:numPr>
      </w:pPr>
      <w:r w:rsidRPr="00B82306">
        <w:rPr>
          <w:b/>
          <w:bCs/>
        </w:rPr>
        <w:t xml:space="preserve">Case Closure – Term due to death: </w:t>
      </w:r>
      <w:r>
        <w:t xml:space="preserve">added guidance on what to do if member had an assessment but expires prior to completion of a Support Plan. </w:t>
      </w:r>
    </w:p>
    <w:p w14:paraId="33C63396" w14:textId="199333EF" w:rsidR="00C16346" w:rsidRDefault="00C5737B" w:rsidP="00B82306">
      <w:pPr>
        <w:pStyle w:val="ListParagraph"/>
        <w:numPr>
          <w:ilvl w:val="0"/>
          <w:numId w:val="27"/>
        </w:numPr>
      </w:pPr>
      <w:r>
        <w:rPr>
          <w:b/>
          <w:bCs/>
        </w:rPr>
        <w:t>Housing Stabilization Services:</w:t>
      </w:r>
      <w:r>
        <w:t xml:space="preserve"> </w:t>
      </w:r>
      <w:proofErr w:type="gramStart"/>
      <w:r>
        <w:t>removed section</w:t>
      </w:r>
      <w:proofErr w:type="gramEnd"/>
      <w:r>
        <w:t>.</w:t>
      </w:r>
    </w:p>
    <w:p w14:paraId="44EC0D43" w14:textId="77777777" w:rsidR="007A1CAF" w:rsidRPr="00490550" w:rsidRDefault="007A1CAF" w:rsidP="00D34C7F">
      <w:pPr>
        <w:pStyle w:val="ListParagraph"/>
        <w:ind w:left="720"/>
      </w:pPr>
    </w:p>
    <w:p w14:paraId="45253631" w14:textId="5C911344" w:rsidR="00D34C7F" w:rsidRDefault="00D34C7F" w:rsidP="00D34C7F">
      <w:pPr>
        <w:spacing w:beforeLines="50" w:before="120" w:after="0" w:line="240" w:lineRule="auto"/>
        <w:rPr>
          <w:b/>
          <w:bCs/>
          <w:color w:val="0070C0"/>
        </w:rPr>
      </w:pPr>
      <w:r>
        <w:rPr>
          <w:b/>
          <w:bCs/>
          <w:color w:val="0070C0"/>
        </w:rPr>
        <w:t>Nursing Home</w:t>
      </w:r>
      <w:r w:rsidRPr="00A14C3B">
        <w:rPr>
          <w:b/>
          <w:bCs/>
          <w:color w:val="0070C0"/>
        </w:rPr>
        <w:t xml:space="preserve"> Guidelines</w:t>
      </w:r>
    </w:p>
    <w:p w14:paraId="59DB04F4" w14:textId="77777777" w:rsidR="00C5737B" w:rsidRDefault="00C5737B" w:rsidP="00C5737B">
      <w:pPr>
        <w:pStyle w:val="ListParagraph"/>
        <w:numPr>
          <w:ilvl w:val="0"/>
          <w:numId w:val="27"/>
        </w:numPr>
      </w:pPr>
      <w:r>
        <w:rPr>
          <w:b/>
          <w:bCs/>
        </w:rPr>
        <w:t>Housing Stabilization Services:</w:t>
      </w:r>
      <w:r>
        <w:t xml:space="preserve"> </w:t>
      </w:r>
      <w:proofErr w:type="gramStart"/>
      <w:r>
        <w:t>removed section</w:t>
      </w:r>
      <w:proofErr w:type="gramEnd"/>
      <w:r>
        <w:t>.</w:t>
      </w:r>
    </w:p>
    <w:p w14:paraId="5375661B" w14:textId="77777777" w:rsidR="00C5737B" w:rsidRPr="00B82306" w:rsidRDefault="00C5737B" w:rsidP="00D34C7F">
      <w:pPr>
        <w:spacing w:beforeLines="50" w:before="120" w:after="0" w:line="240" w:lineRule="auto"/>
        <w:rPr>
          <w:b/>
          <w:bCs/>
          <w:color w:val="0070C0"/>
        </w:rPr>
      </w:pPr>
    </w:p>
    <w:p w14:paraId="33DDBBDF" w14:textId="1A8027AF" w:rsidR="009B7F36" w:rsidRPr="009B7F36" w:rsidRDefault="009B7F36" w:rsidP="009B7F36">
      <w:pPr>
        <w:tabs>
          <w:tab w:val="left" w:pos="5085"/>
        </w:tabs>
        <w:rPr>
          <w:sz w:val="40"/>
          <w:szCs w:val="40"/>
        </w:rPr>
      </w:pPr>
    </w:p>
    <w:sectPr w:rsidR="009B7F36" w:rsidRPr="009B7F36" w:rsidSect="00F145AB">
      <w:headerReference w:type="default" r:id="rId12"/>
      <w:footerReference w:type="default" r:id="rId13"/>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81AD" w14:textId="77777777" w:rsidR="008263BD" w:rsidRDefault="008263BD" w:rsidP="00BB1FFD">
      <w:pPr>
        <w:spacing w:after="0" w:line="240" w:lineRule="auto"/>
      </w:pPr>
      <w:r>
        <w:separator/>
      </w:r>
    </w:p>
  </w:endnote>
  <w:endnote w:type="continuationSeparator" w:id="0">
    <w:p w14:paraId="52DB8AC0" w14:textId="77777777" w:rsidR="008263BD" w:rsidRDefault="008263BD" w:rsidP="00BB1FFD">
      <w:pPr>
        <w:spacing w:after="0" w:line="240" w:lineRule="auto"/>
      </w:pPr>
      <w:r>
        <w:continuationSeparator/>
      </w:r>
    </w:p>
  </w:endnote>
  <w:endnote w:type="continuationNotice" w:id="1">
    <w:p w14:paraId="421D3882" w14:textId="77777777" w:rsidR="008263BD" w:rsidRDefault="00826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18DD" w14:textId="77777777" w:rsidR="008263BD" w:rsidRDefault="008263BD" w:rsidP="00BB1FFD">
      <w:pPr>
        <w:spacing w:after="0" w:line="240" w:lineRule="auto"/>
      </w:pPr>
      <w:r>
        <w:separator/>
      </w:r>
    </w:p>
  </w:footnote>
  <w:footnote w:type="continuationSeparator" w:id="0">
    <w:p w14:paraId="3343D8D3" w14:textId="77777777" w:rsidR="008263BD" w:rsidRDefault="008263BD" w:rsidP="00BB1FFD">
      <w:pPr>
        <w:spacing w:after="0" w:line="240" w:lineRule="auto"/>
      </w:pPr>
      <w:r>
        <w:continuationSeparator/>
      </w:r>
    </w:p>
  </w:footnote>
  <w:footnote w:type="continuationNotice" w:id="1">
    <w:p w14:paraId="1141758E" w14:textId="77777777" w:rsidR="008263BD" w:rsidRDefault="00826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80D0E07" w:rsidR="00AF1D04" w:rsidRPr="00AF1D04" w:rsidRDefault="00A333B0"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10-29-2025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80D0E07" w:rsidR="00AF1D04" w:rsidRPr="00AF1D04" w:rsidRDefault="00A333B0"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10-29-2025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FB5FD1"/>
    <w:multiLevelType w:val="hybridMultilevel"/>
    <w:tmpl w:val="2EA8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8"/>
  </w:num>
  <w:num w:numId="2" w16cid:durableId="1797331095">
    <w:abstractNumId w:val="10"/>
  </w:num>
  <w:num w:numId="3" w16cid:durableId="214856249">
    <w:abstractNumId w:val="14"/>
  </w:num>
  <w:num w:numId="4" w16cid:durableId="1499616861">
    <w:abstractNumId w:val="21"/>
  </w:num>
  <w:num w:numId="5" w16cid:durableId="2073769093">
    <w:abstractNumId w:val="1"/>
  </w:num>
  <w:num w:numId="6" w16cid:durableId="18362904">
    <w:abstractNumId w:val="25"/>
  </w:num>
  <w:num w:numId="7" w16cid:durableId="495341996">
    <w:abstractNumId w:val="26"/>
  </w:num>
  <w:num w:numId="8" w16cid:durableId="195433800">
    <w:abstractNumId w:val="4"/>
  </w:num>
  <w:num w:numId="9" w16cid:durableId="2131320421">
    <w:abstractNumId w:val="15"/>
  </w:num>
  <w:num w:numId="10" w16cid:durableId="292836173">
    <w:abstractNumId w:val="11"/>
  </w:num>
  <w:num w:numId="11" w16cid:durableId="590047722">
    <w:abstractNumId w:val="6"/>
  </w:num>
  <w:num w:numId="12" w16cid:durableId="1674527007">
    <w:abstractNumId w:val="9"/>
  </w:num>
  <w:num w:numId="13" w16cid:durableId="1073697651">
    <w:abstractNumId w:val="7"/>
  </w:num>
  <w:num w:numId="14" w16cid:durableId="1167403472">
    <w:abstractNumId w:val="19"/>
  </w:num>
  <w:num w:numId="15" w16cid:durableId="1282767395">
    <w:abstractNumId w:val="22"/>
  </w:num>
  <w:num w:numId="16" w16cid:durableId="974333673">
    <w:abstractNumId w:val="13"/>
  </w:num>
  <w:num w:numId="17" w16cid:durableId="364520162">
    <w:abstractNumId w:val="5"/>
  </w:num>
  <w:num w:numId="18" w16cid:durableId="1117332499">
    <w:abstractNumId w:val="8"/>
  </w:num>
  <w:num w:numId="19" w16cid:durableId="2132741991">
    <w:abstractNumId w:val="3"/>
  </w:num>
  <w:num w:numId="20" w16cid:durableId="133525190">
    <w:abstractNumId w:val="23"/>
  </w:num>
  <w:num w:numId="21" w16cid:durableId="2101565973">
    <w:abstractNumId w:val="20"/>
  </w:num>
  <w:num w:numId="22" w16cid:durableId="580287051">
    <w:abstractNumId w:val="16"/>
  </w:num>
  <w:num w:numId="23" w16cid:durableId="1795637695">
    <w:abstractNumId w:val="24"/>
  </w:num>
  <w:num w:numId="24" w16cid:durableId="1165973169">
    <w:abstractNumId w:val="0"/>
  </w:num>
  <w:num w:numId="25" w16cid:durableId="1790397476">
    <w:abstractNumId w:val="17"/>
  </w:num>
  <w:num w:numId="26" w16cid:durableId="765073409">
    <w:abstractNumId w:val="2"/>
  </w:num>
  <w:num w:numId="27" w16cid:durableId="1286306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861DF"/>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B2877"/>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0B39"/>
    <w:rsid w:val="002B36E2"/>
    <w:rsid w:val="002D7C3C"/>
    <w:rsid w:val="002E040A"/>
    <w:rsid w:val="002E4287"/>
    <w:rsid w:val="002E7252"/>
    <w:rsid w:val="002F63D4"/>
    <w:rsid w:val="00323095"/>
    <w:rsid w:val="00351D8C"/>
    <w:rsid w:val="003835FC"/>
    <w:rsid w:val="003901BE"/>
    <w:rsid w:val="003A12B5"/>
    <w:rsid w:val="003B01B5"/>
    <w:rsid w:val="003B5970"/>
    <w:rsid w:val="003C1F8E"/>
    <w:rsid w:val="003D042A"/>
    <w:rsid w:val="003E13DE"/>
    <w:rsid w:val="003E6579"/>
    <w:rsid w:val="003F29D6"/>
    <w:rsid w:val="003F6B90"/>
    <w:rsid w:val="00401A72"/>
    <w:rsid w:val="00411ADF"/>
    <w:rsid w:val="0044731C"/>
    <w:rsid w:val="0047758D"/>
    <w:rsid w:val="00490550"/>
    <w:rsid w:val="00490FCE"/>
    <w:rsid w:val="004A4FA5"/>
    <w:rsid w:val="004D30F0"/>
    <w:rsid w:val="004F1E33"/>
    <w:rsid w:val="00500D27"/>
    <w:rsid w:val="0051093B"/>
    <w:rsid w:val="00512318"/>
    <w:rsid w:val="005201CF"/>
    <w:rsid w:val="005216A1"/>
    <w:rsid w:val="0053159F"/>
    <w:rsid w:val="00540B8C"/>
    <w:rsid w:val="005413CA"/>
    <w:rsid w:val="00557876"/>
    <w:rsid w:val="00563D45"/>
    <w:rsid w:val="00587B08"/>
    <w:rsid w:val="005A202B"/>
    <w:rsid w:val="005B0C97"/>
    <w:rsid w:val="005B2F63"/>
    <w:rsid w:val="005C4385"/>
    <w:rsid w:val="005C7FFC"/>
    <w:rsid w:val="005D6BC6"/>
    <w:rsid w:val="005E07CD"/>
    <w:rsid w:val="00605891"/>
    <w:rsid w:val="00623BBA"/>
    <w:rsid w:val="00630798"/>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51DFC"/>
    <w:rsid w:val="00763D00"/>
    <w:rsid w:val="00765391"/>
    <w:rsid w:val="007808B0"/>
    <w:rsid w:val="00790870"/>
    <w:rsid w:val="007952B1"/>
    <w:rsid w:val="007979EC"/>
    <w:rsid w:val="007A040D"/>
    <w:rsid w:val="007A1CAF"/>
    <w:rsid w:val="007A5E90"/>
    <w:rsid w:val="007A5F11"/>
    <w:rsid w:val="007D561F"/>
    <w:rsid w:val="007E404D"/>
    <w:rsid w:val="007E4567"/>
    <w:rsid w:val="007F0AE7"/>
    <w:rsid w:val="007F27A6"/>
    <w:rsid w:val="0080562D"/>
    <w:rsid w:val="008263BD"/>
    <w:rsid w:val="00827255"/>
    <w:rsid w:val="00845ED9"/>
    <w:rsid w:val="00850A75"/>
    <w:rsid w:val="00857F8D"/>
    <w:rsid w:val="0086469F"/>
    <w:rsid w:val="00871F80"/>
    <w:rsid w:val="00885E21"/>
    <w:rsid w:val="00887099"/>
    <w:rsid w:val="008877C2"/>
    <w:rsid w:val="008B2805"/>
    <w:rsid w:val="008C06C7"/>
    <w:rsid w:val="008C610E"/>
    <w:rsid w:val="008E3F08"/>
    <w:rsid w:val="008E6751"/>
    <w:rsid w:val="008F5F4B"/>
    <w:rsid w:val="00902422"/>
    <w:rsid w:val="00932CA6"/>
    <w:rsid w:val="00954AF8"/>
    <w:rsid w:val="00963586"/>
    <w:rsid w:val="00963F3F"/>
    <w:rsid w:val="00964FC8"/>
    <w:rsid w:val="00981E73"/>
    <w:rsid w:val="00982632"/>
    <w:rsid w:val="009869A9"/>
    <w:rsid w:val="00986E5D"/>
    <w:rsid w:val="009B1374"/>
    <w:rsid w:val="009B2F51"/>
    <w:rsid w:val="009B7F36"/>
    <w:rsid w:val="00A1065A"/>
    <w:rsid w:val="00A16F35"/>
    <w:rsid w:val="00A24223"/>
    <w:rsid w:val="00A333B0"/>
    <w:rsid w:val="00A43DD3"/>
    <w:rsid w:val="00A51367"/>
    <w:rsid w:val="00A56E9B"/>
    <w:rsid w:val="00A5700C"/>
    <w:rsid w:val="00A7017F"/>
    <w:rsid w:val="00A771B2"/>
    <w:rsid w:val="00A9292A"/>
    <w:rsid w:val="00AA1C20"/>
    <w:rsid w:val="00AB049B"/>
    <w:rsid w:val="00AB2016"/>
    <w:rsid w:val="00AC4739"/>
    <w:rsid w:val="00AD5757"/>
    <w:rsid w:val="00AD6BBD"/>
    <w:rsid w:val="00AE5599"/>
    <w:rsid w:val="00AF1D04"/>
    <w:rsid w:val="00B06AA0"/>
    <w:rsid w:val="00B33AEF"/>
    <w:rsid w:val="00B52F75"/>
    <w:rsid w:val="00B60565"/>
    <w:rsid w:val="00B63110"/>
    <w:rsid w:val="00B81F54"/>
    <w:rsid w:val="00B82306"/>
    <w:rsid w:val="00BB1FFD"/>
    <w:rsid w:val="00BD6DF2"/>
    <w:rsid w:val="00BE686E"/>
    <w:rsid w:val="00C03345"/>
    <w:rsid w:val="00C07123"/>
    <w:rsid w:val="00C16346"/>
    <w:rsid w:val="00C20357"/>
    <w:rsid w:val="00C30B6E"/>
    <w:rsid w:val="00C40B16"/>
    <w:rsid w:val="00C41AB5"/>
    <w:rsid w:val="00C44797"/>
    <w:rsid w:val="00C44CEA"/>
    <w:rsid w:val="00C51B7A"/>
    <w:rsid w:val="00C52A03"/>
    <w:rsid w:val="00C54B73"/>
    <w:rsid w:val="00C5737B"/>
    <w:rsid w:val="00C608E4"/>
    <w:rsid w:val="00C6123D"/>
    <w:rsid w:val="00C844B5"/>
    <w:rsid w:val="00C86F53"/>
    <w:rsid w:val="00CA04A0"/>
    <w:rsid w:val="00CA1E33"/>
    <w:rsid w:val="00CA2381"/>
    <w:rsid w:val="00CA2A1A"/>
    <w:rsid w:val="00CB7F7B"/>
    <w:rsid w:val="00CC2EB9"/>
    <w:rsid w:val="00CC4229"/>
    <w:rsid w:val="00CC5603"/>
    <w:rsid w:val="00CE5DE2"/>
    <w:rsid w:val="00CE63EA"/>
    <w:rsid w:val="00CF49F1"/>
    <w:rsid w:val="00CF6B62"/>
    <w:rsid w:val="00D3050B"/>
    <w:rsid w:val="00D34C7F"/>
    <w:rsid w:val="00D43948"/>
    <w:rsid w:val="00D5294C"/>
    <w:rsid w:val="00D60A33"/>
    <w:rsid w:val="00D62FFC"/>
    <w:rsid w:val="00D66CF4"/>
    <w:rsid w:val="00D96A36"/>
    <w:rsid w:val="00DA49D2"/>
    <w:rsid w:val="00DF4E3A"/>
    <w:rsid w:val="00E00AB5"/>
    <w:rsid w:val="00E11DD3"/>
    <w:rsid w:val="00E47607"/>
    <w:rsid w:val="00E82F6B"/>
    <w:rsid w:val="00EA7CC0"/>
    <w:rsid w:val="00EC4AA6"/>
    <w:rsid w:val="00EC69E5"/>
    <w:rsid w:val="00EF5568"/>
    <w:rsid w:val="00F04D76"/>
    <w:rsid w:val="00F122CE"/>
    <w:rsid w:val="00F145AB"/>
    <w:rsid w:val="00F2197B"/>
    <w:rsid w:val="00F2265D"/>
    <w:rsid w:val="00F2549E"/>
    <w:rsid w:val="00F31E94"/>
    <w:rsid w:val="00F36B5F"/>
    <w:rsid w:val="00F531F6"/>
    <w:rsid w:val="00F5483A"/>
    <w:rsid w:val="00F610EE"/>
    <w:rsid w:val="00F77805"/>
    <w:rsid w:val="00F93A7E"/>
    <w:rsid w:val="00F961AF"/>
    <w:rsid w:val="00FA31F9"/>
    <w:rsid w:val="00FA7110"/>
    <w:rsid w:val="00FB0E16"/>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recoordination.bluecrossmn.com/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e11f96fe5b0e4b32df24ed5be2918997">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79074a1ba7168694b543a793622d5b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E771C235-D738-4FF3-86ED-935596F4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237</Words>
  <Characters>1270</Characters>
  <Application>Microsoft Office Word</Application>
  <DocSecurity>8</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34</cp:revision>
  <cp:lastPrinted>2023-04-13T19:37:00Z</cp:lastPrinted>
  <dcterms:created xsi:type="dcterms:W3CDTF">2025-10-27T14:01:00Z</dcterms:created>
  <dcterms:modified xsi:type="dcterms:W3CDTF">2025-10-29T19:18:00Z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