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181" w:tblpY="2101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5"/>
      </w:tblGrid>
      <w:tr w:rsidR="0074453E" w:rsidRPr="00C30B6E" w14:paraId="03ABAE9B" w14:textId="77777777" w:rsidTr="0074453E">
        <w:trPr>
          <w:trHeight w:val="9330"/>
        </w:trPr>
        <w:tc>
          <w:tcPr>
            <w:tcW w:w="16645" w:type="dxa"/>
          </w:tcPr>
          <w:p w14:paraId="5A84E19B" w14:textId="173CC883" w:rsidR="006F2536" w:rsidRPr="00360E81" w:rsidRDefault="006F2536" w:rsidP="006F2536">
            <w:pPr>
              <w:pStyle w:val="Heading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60E8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Bridgeview CFSS and Transitional MA Plan PCA Reminders</w:t>
            </w:r>
          </w:p>
          <w:p w14:paraId="36CFE228" w14:textId="77777777" w:rsidR="006F2536" w:rsidRDefault="006F2536" w:rsidP="006F2536">
            <w:pPr>
              <w:rPr>
                <w:rFonts w:cstheme="minorHAnsi"/>
                <w:sz w:val="24"/>
                <w:szCs w:val="24"/>
              </w:rPr>
            </w:pPr>
          </w:p>
          <w:p w14:paraId="6023F31E" w14:textId="77777777" w:rsidR="006F2536" w:rsidRPr="00D37EEB" w:rsidRDefault="006F2536" w:rsidP="006F2536">
            <w:pPr>
              <w:rPr>
                <w:rFonts w:cstheme="minorHAnsi"/>
                <w:sz w:val="24"/>
                <w:szCs w:val="24"/>
              </w:rPr>
            </w:pPr>
            <w:r w:rsidRPr="00D37EEB">
              <w:rPr>
                <w:rFonts w:cstheme="minorHAnsi"/>
                <w:sz w:val="24"/>
                <w:szCs w:val="24"/>
                <w:u w:val="single"/>
              </w:rPr>
              <w:t xml:space="preserve">For Care Coordinators:  </w:t>
            </w:r>
          </w:p>
          <w:p w14:paraId="5E32B6E4" w14:textId="77777777" w:rsidR="006F2536" w:rsidRPr="00674798" w:rsidRDefault="006F2536" w:rsidP="006F2536">
            <w:pPr>
              <w:rPr>
                <w:rFonts w:cstheme="minorHAnsi"/>
                <w:sz w:val="24"/>
                <w:szCs w:val="24"/>
              </w:rPr>
            </w:pPr>
            <w:r w:rsidRPr="00674798">
              <w:rPr>
                <w:rFonts w:cstheme="minorHAnsi"/>
                <w:sz w:val="24"/>
                <w:szCs w:val="24"/>
              </w:rPr>
              <w:t xml:space="preserve">For </w:t>
            </w:r>
            <w:r w:rsidRPr="005F241B">
              <w:rPr>
                <w:rFonts w:cstheme="minorHAnsi"/>
                <w:b/>
                <w:bCs/>
                <w:sz w:val="24"/>
                <w:szCs w:val="24"/>
              </w:rPr>
              <w:t>Transitional MA Plan PCA</w:t>
            </w:r>
            <w:r w:rsidRPr="00674798">
              <w:rPr>
                <w:rFonts w:cstheme="minorHAnsi"/>
                <w:color w:val="4472C4" w:themeColor="accent1"/>
                <w:sz w:val="24"/>
                <w:szCs w:val="24"/>
              </w:rPr>
              <w:t xml:space="preserve"> </w:t>
            </w:r>
            <w:r w:rsidRPr="00674798">
              <w:rPr>
                <w:rFonts w:cstheme="minorHAnsi"/>
                <w:sz w:val="24"/>
                <w:szCs w:val="24"/>
              </w:rPr>
              <w:t>service agreements</w:t>
            </w:r>
            <w:r>
              <w:rPr>
                <w:rFonts w:cstheme="minorHAnsi"/>
                <w:sz w:val="24"/>
                <w:szCs w:val="24"/>
              </w:rPr>
              <w:t>, i</w:t>
            </w:r>
            <w:r w:rsidRPr="00674798">
              <w:rPr>
                <w:rFonts w:cstheme="minorHAnsi"/>
                <w:sz w:val="24"/>
                <w:szCs w:val="24"/>
              </w:rPr>
              <w:t xml:space="preserve">f there is a need to extend the authorization dates due to CFSS care plan not ready to implement, do not change the existing authorization.  Create a new one for the additional time.  </w:t>
            </w:r>
          </w:p>
          <w:p w14:paraId="5A9F1F5E" w14:textId="77777777" w:rsidR="006F2536" w:rsidRPr="00D37EEB" w:rsidRDefault="006F2536" w:rsidP="006F2536">
            <w:pPr>
              <w:pStyle w:val="ListParagraph"/>
              <w:spacing w:line="240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2583517C" w14:textId="77777777" w:rsidR="006F2536" w:rsidRPr="00FE50B9" w:rsidRDefault="006F2536" w:rsidP="006F25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E50B9">
              <w:rPr>
                <w:rFonts w:cstheme="minorHAnsi"/>
                <w:sz w:val="24"/>
                <w:szCs w:val="24"/>
                <w:u w:val="single"/>
              </w:rPr>
              <w:t xml:space="preserve">For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CFSS </w:t>
            </w:r>
            <w:r w:rsidRPr="00FE50B9">
              <w:rPr>
                <w:rFonts w:cstheme="minorHAnsi"/>
                <w:sz w:val="24"/>
                <w:szCs w:val="24"/>
                <w:u w:val="single"/>
              </w:rPr>
              <w:t>Providers</w:t>
            </w:r>
            <w:r>
              <w:rPr>
                <w:rFonts w:cstheme="minorHAnsi"/>
                <w:sz w:val="24"/>
                <w:szCs w:val="24"/>
                <w:u w:val="single"/>
              </w:rPr>
              <w:t>:</w:t>
            </w:r>
          </w:p>
          <w:p w14:paraId="39D9D0F2" w14:textId="77777777" w:rsidR="006F2536" w:rsidRPr="00674798" w:rsidRDefault="006F2536" w:rsidP="006F2536">
            <w:pPr>
              <w:rPr>
                <w:rFonts w:cstheme="minorHAnsi"/>
                <w:sz w:val="24"/>
                <w:szCs w:val="24"/>
              </w:rPr>
            </w:pPr>
            <w:r w:rsidRPr="00674798">
              <w:rPr>
                <w:rFonts w:cstheme="minorHAnsi"/>
                <w:sz w:val="24"/>
                <w:szCs w:val="24"/>
              </w:rPr>
              <w:t xml:space="preserve">Care Coordinators frequently contact Bridgeview asking where to find the authorization for CFSS. Authorizations for CFSS are located in Availity-Payer Spaces, not Helios. </w:t>
            </w:r>
            <w:r>
              <w:rPr>
                <w:rFonts w:cstheme="minorHAnsi"/>
                <w:sz w:val="24"/>
                <w:szCs w:val="24"/>
              </w:rPr>
              <w:t>If contacted, Care Coordinators can:</w:t>
            </w:r>
            <w:r w:rsidRPr="0067479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431B804" w14:textId="77777777" w:rsidR="006F2536" w:rsidRPr="00360E81" w:rsidRDefault="006F2536" w:rsidP="006F253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60E81">
              <w:rPr>
                <w:rFonts w:cstheme="minorHAnsi"/>
                <w:sz w:val="24"/>
                <w:szCs w:val="24"/>
              </w:rPr>
              <w:t xml:space="preserve">inform the Provider(s) to access the authorizations in Availity-Payer Spaces. They can view and print those authorizations.  </w:t>
            </w:r>
          </w:p>
          <w:p w14:paraId="326D6512" w14:textId="77777777" w:rsidR="006F2536" w:rsidRPr="00360E81" w:rsidRDefault="006F2536" w:rsidP="006F253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60E81">
              <w:rPr>
                <w:rFonts w:cstheme="minorHAnsi"/>
                <w:sz w:val="24"/>
                <w:szCs w:val="24"/>
              </w:rPr>
              <w:t xml:space="preserve">advise when providers are submitting their claims for </w:t>
            </w:r>
            <w:r w:rsidRPr="00360E81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CFSS</w:t>
            </w:r>
            <w:r w:rsidRPr="00360E81">
              <w:rPr>
                <w:rFonts w:cstheme="minorHAnsi"/>
                <w:sz w:val="24"/>
                <w:szCs w:val="24"/>
              </w:rPr>
              <w:t xml:space="preserve"> they must choose Bridgeview as the payor, not Blue Plus Medicaid.  </w:t>
            </w:r>
          </w:p>
          <w:p w14:paraId="29CB2182" w14:textId="77777777" w:rsidR="006F2536" w:rsidRPr="00360E81" w:rsidRDefault="006F2536" w:rsidP="006F253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direct providers to contact Bridgeview directly for any questions at</w:t>
            </w:r>
            <w:r w:rsidRPr="00360E81">
              <w:rPr>
                <w:rFonts w:cstheme="minorHAnsi"/>
                <w:sz w:val="24"/>
                <w:szCs w:val="24"/>
              </w:rPr>
              <w:t xml:space="preserve">  1-800-584-9488 or email: EWProviders@bluecrossmn.com</w:t>
            </w:r>
          </w:p>
          <w:p w14:paraId="70D13404" w14:textId="77777777" w:rsidR="006F2536" w:rsidRPr="007E4567" w:rsidRDefault="006F2536" w:rsidP="006F2536">
            <w:pPr>
              <w:ind w:left="8640"/>
              <w:rPr>
                <w:rFonts w:cstheme="minorHAnsi"/>
                <w:sz w:val="24"/>
                <w:szCs w:val="24"/>
              </w:rPr>
            </w:pPr>
          </w:p>
          <w:p w14:paraId="24C57BB6" w14:textId="77777777" w:rsidR="006F2536" w:rsidRDefault="006F2536" w:rsidP="006F2536">
            <w:pPr>
              <w:rPr>
                <w:rFonts w:cstheme="minorHAnsi"/>
              </w:rPr>
            </w:pPr>
          </w:p>
          <w:p w14:paraId="4727AB24" w14:textId="77777777" w:rsidR="006F2536" w:rsidRPr="00360E81" w:rsidRDefault="006F2536" w:rsidP="006F2536">
            <w:pPr>
              <w:rPr>
                <w:rFonts w:cstheme="minorHAnsi"/>
              </w:rPr>
            </w:pPr>
            <w:r w:rsidRPr="00360E81">
              <w:rPr>
                <w:rFonts w:cstheme="minorHAnsi"/>
                <w:b/>
                <w:bCs/>
                <w:color w:val="1F3864" w:themeColor="accent1" w:themeShade="80"/>
                <w:sz w:val="28"/>
                <w:szCs w:val="28"/>
              </w:rPr>
              <w:t>Transfer FNU (TFNU) and Transitional HRA (THRA) Reminder to enter correct HRA Form Used</w:t>
            </w:r>
          </w:p>
          <w:p w14:paraId="57DD5C7E" w14:textId="77777777" w:rsidR="006F2536" w:rsidRDefault="006F2536" w:rsidP="006F2536">
            <w:pPr>
              <w:rPr>
                <w:rFonts w:cstheme="minorHAnsi"/>
              </w:rPr>
            </w:pPr>
          </w:p>
          <w:p w14:paraId="62323480" w14:textId="77777777" w:rsidR="006F2536" w:rsidRDefault="006F2536" w:rsidP="006F2536">
            <w:pPr>
              <w:rPr>
                <w:rFonts w:cstheme="minorHAnsi"/>
                <w:sz w:val="24"/>
                <w:szCs w:val="24"/>
              </w:rPr>
            </w:pPr>
            <w:r w:rsidRPr="00D219DB">
              <w:rPr>
                <w:rFonts w:cstheme="minorHAnsi"/>
                <w:sz w:val="24"/>
                <w:szCs w:val="24"/>
              </w:rPr>
              <w:t>When entering a T</w:t>
            </w:r>
            <w:r>
              <w:rPr>
                <w:rFonts w:cstheme="minorHAnsi"/>
                <w:sz w:val="24"/>
                <w:szCs w:val="24"/>
              </w:rPr>
              <w:t>HRA or TFNU</w:t>
            </w:r>
            <w:r w:rsidRPr="00D219D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you </w:t>
            </w:r>
            <w:r w:rsidRPr="00513A39">
              <w:rPr>
                <w:rFonts w:cstheme="minorHAnsi"/>
                <w:sz w:val="24"/>
                <w:szCs w:val="24"/>
                <w:u w:val="single"/>
              </w:rPr>
              <w:t>must</w:t>
            </w:r>
            <w:r w:rsidRPr="00D219DB">
              <w:rPr>
                <w:rFonts w:cstheme="minorHAnsi"/>
                <w:sz w:val="24"/>
                <w:szCs w:val="24"/>
              </w:rPr>
              <w:t xml:space="preserve"> select 6.28 TRANS HRA or TRANSFER FNU in the </w:t>
            </w:r>
            <w:r w:rsidRPr="00D219D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HRA Form Used</w:t>
            </w:r>
            <w:r w:rsidRPr="00D219DB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Pr="00D219DB">
              <w:rPr>
                <w:rFonts w:cstheme="minorHAnsi"/>
                <w:sz w:val="24"/>
                <w:szCs w:val="24"/>
              </w:rPr>
              <w:t xml:space="preserve">field.  </w:t>
            </w:r>
          </w:p>
          <w:p w14:paraId="3B14ED77" w14:textId="77777777" w:rsidR="006F2536" w:rsidRDefault="006F2536" w:rsidP="006F2536">
            <w:pPr>
              <w:rPr>
                <w:rFonts w:cstheme="minorHAnsi"/>
                <w:sz w:val="24"/>
                <w:szCs w:val="24"/>
              </w:rPr>
            </w:pPr>
          </w:p>
          <w:p w14:paraId="2CE6B557" w14:textId="77777777" w:rsidR="006F2536" w:rsidRDefault="006F2536" w:rsidP="006F2536">
            <w:pPr>
              <w:rPr>
                <w:rFonts w:cstheme="minorHAnsi"/>
                <w:sz w:val="24"/>
                <w:szCs w:val="24"/>
              </w:rPr>
            </w:pPr>
            <w:r w:rsidRPr="00872544">
              <w:rPr>
                <w:rFonts w:cstheme="minorHAnsi"/>
                <w:sz w:val="24"/>
                <w:szCs w:val="24"/>
              </w:rPr>
              <w:t>We’re finding what appears to be transitional HRAs related to product or plan changes entered into Bridgeview as either R-</w:t>
            </w:r>
            <w:r>
              <w:rPr>
                <w:rFonts w:cstheme="minorHAnsi"/>
                <w:sz w:val="24"/>
                <w:szCs w:val="24"/>
              </w:rPr>
              <w:t>MNCHOICES ASSESSMENT</w:t>
            </w:r>
            <w:r w:rsidRPr="00872544">
              <w:rPr>
                <w:rFonts w:cstheme="minorHAnsi"/>
                <w:sz w:val="24"/>
                <w:szCs w:val="24"/>
              </w:rPr>
              <w:t xml:space="preserve"> or HRA-MCO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72544">
              <w:rPr>
                <w:rFonts w:cstheme="minorHAnsi"/>
                <w:sz w:val="24"/>
                <w:szCs w:val="24"/>
              </w:rPr>
              <w:t xml:space="preserve">ssessment. In many cases, </w:t>
            </w:r>
            <w:r>
              <w:rPr>
                <w:rFonts w:cstheme="minorHAnsi"/>
                <w:sz w:val="24"/>
                <w:szCs w:val="24"/>
              </w:rPr>
              <w:t xml:space="preserve">TFNUs and THRAs </w:t>
            </w:r>
            <w:r w:rsidRPr="00872544">
              <w:rPr>
                <w:rFonts w:cstheme="minorHAnsi"/>
                <w:sz w:val="24"/>
                <w:szCs w:val="24"/>
              </w:rPr>
              <w:t xml:space="preserve">are not full assessments and, importantly, do not include a new care plan. Because of this, they should not be </w:t>
            </w:r>
            <w:r>
              <w:rPr>
                <w:rFonts w:cstheme="minorHAnsi"/>
                <w:sz w:val="24"/>
                <w:szCs w:val="24"/>
              </w:rPr>
              <w:t>entered</w:t>
            </w:r>
            <w:r w:rsidRPr="00872544">
              <w:rPr>
                <w:rFonts w:cstheme="minorHAnsi"/>
                <w:sz w:val="24"/>
                <w:szCs w:val="24"/>
              </w:rPr>
              <w:t xml:space="preserve"> as full assessments in BV. When listed as such, they bypass the </w:t>
            </w:r>
            <w:r>
              <w:rPr>
                <w:rFonts w:cstheme="minorHAnsi"/>
                <w:sz w:val="24"/>
                <w:szCs w:val="24"/>
              </w:rPr>
              <w:t xml:space="preserve">date of the </w:t>
            </w:r>
            <w:r w:rsidRPr="00872544">
              <w:rPr>
                <w:rFonts w:cstheme="minorHAnsi"/>
                <w:sz w:val="24"/>
                <w:szCs w:val="24"/>
              </w:rPr>
              <w:t>previous FFS or full assessment and care plan, which affects the proper 365-day reassessment trackin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D219DB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If entered correctly, the next reassessment due date will be flagged correctly using the date of the assessment NOT the date of the THRA or TFNU.</w:t>
            </w:r>
          </w:p>
          <w:p w14:paraId="29C78C8B" w14:textId="77777777" w:rsidR="006F2536" w:rsidRDefault="006F2536" w:rsidP="006F2536">
            <w:pPr>
              <w:rPr>
                <w:rFonts w:cstheme="minorHAnsi"/>
                <w:sz w:val="24"/>
                <w:szCs w:val="24"/>
              </w:rPr>
            </w:pPr>
          </w:p>
          <w:p w14:paraId="67678457" w14:textId="77777777" w:rsidR="006F2536" w:rsidRDefault="006F2536" w:rsidP="006F2536">
            <w:pPr>
              <w:ind w:left="2160"/>
              <w:rPr>
                <w:rFonts w:cstheme="minorHAnsi"/>
                <w:sz w:val="24"/>
                <w:szCs w:val="24"/>
              </w:rPr>
            </w:pPr>
            <w:r w:rsidRPr="00746398">
              <w:rPr>
                <w:rFonts w:cs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556EEE3B" wp14:editId="1BB636A3">
                  <wp:extent cx="5363323" cy="1819529"/>
                  <wp:effectExtent l="152400" t="152400" r="351790" b="371475"/>
                  <wp:docPr id="11533281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3281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323" cy="1819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94CE144" w14:textId="77777777" w:rsidR="006F2536" w:rsidRDefault="006F2536" w:rsidP="006F25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 instructions for proper entry of both Transfer FNU and Transitional HRA can be found in the Bridgeview Care Coordination User Guide</w:t>
            </w:r>
          </w:p>
          <w:p w14:paraId="656A9124" w14:textId="77777777" w:rsidR="006F2536" w:rsidRDefault="006F2536" w:rsidP="006F2536">
            <w:pPr>
              <w:rPr>
                <w:rFonts w:cstheme="minorHAnsi"/>
                <w:sz w:val="24"/>
                <w:szCs w:val="24"/>
              </w:rPr>
            </w:pPr>
          </w:p>
          <w:p w14:paraId="444F0F0F" w14:textId="77777777" w:rsidR="006F2536" w:rsidRPr="00BE3686" w:rsidRDefault="006F2536" w:rsidP="006F2536">
            <w:pPr>
              <w:ind w:left="720"/>
              <w:rPr>
                <w:rFonts w:cstheme="minorHAnsi"/>
                <w:sz w:val="24"/>
                <w:szCs w:val="24"/>
              </w:rPr>
            </w:pPr>
            <w:r w:rsidRPr="0062512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85ABF97" wp14:editId="0C74DC6D">
                  <wp:extent cx="8427527" cy="893135"/>
                  <wp:effectExtent l="152400" t="152400" r="354965" b="364490"/>
                  <wp:docPr id="21405795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57950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0735" cy="901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8018B64" w14:textId="77777777" w:rsidR="006F2536" w:rsidRDefault="006F2536" w:rsidP="006F2536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  <w:r w:rsidRPr="00E820AA">
              <w:rPr>
                <w:rFonts w:cstheme="minorHAnsi"/>
                <w:b/>
                <w:bCs/>
                <w:color w:val="1F3864" w:themeColor="accent1" w:themeShade="80"/>
                <w:sz w:val="28"/>
                <w:szCs w:val="28"/>
              </w:rPr>
              <w:t>Significant Health Change assessments</w:t>
            </w:r>
          </w:p>
          <w:p w14:paraId="5E4D461B" w14:textId="77777777" w:rsidR="006F2536" w:rsidRDefault="006F2536" w:rsidP="006F2536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</w:p>
          <w:p w14:paraId="55875E49" w14:textId="77777777" w:rsidR="006F2536" w:rsidRDefault="006F2536" w:rsidP="006F2536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Care Coordinators should not select SIGNIFICANT HEALTH CHANGE under “Type Of Assessment” in Bridgeview unless you completed a full assessment and your intent is to reset the waiver span. This will reset your 365-day reminder for reassessment. </w:t>
            </w:r>
          </w:p>
          <w:p w14:paraId="4539069D" w14:textId="77777777" w:rsidR="006F2536" w:rsidRDefault="006F2536" w:rsidP="006F2536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</w:p>
          <w:p w14:paraId="37BF84AF" w14:textId="77777777" w:rsidR="006F2536" w:rsidRPr="00E97D71" w:rsidRDefault="006F2536" w:rsidP="006F2536">
            <w:pPr>
              <w:tabs>
                <w:tab w:val="left" w:pos="48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38E988" wp14:editId="7463FF7D">
                  <wp:extent cx="2082907" cy="939848"/>
                  <wp:effectExtent l="0" t="0" r="0" b="0"/>
                  <wp:docPr id="5965000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50008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907" cy="93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20AA3" w14:textId="77777777" w:rsidR="006F2536" w:rsidRPr="00E97D71" w:rsidRDefault="006F2536" w:rsidP="006F2536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  <w:r w:rsidRPr="00E97D71">
              <w:rPr>
                <w:rFonts w:cstheme="minorHAnsi"/>
                <w:sz w:val="24"/>
                <w:szCs w:val="24"/>
              </w:rPr>
              <w:lastRenderedPageBreak/>
              <w:t xml:space="preserve">If a significant health change has occurred and the Care Coordinator’s intent is </w:t>
            </w:r>
            <w:r w:rsidRPr="00C303A3">
              <w:rPr>
                <w:rFonts w:cstheme="minorHAnsi"/>
                <w:sz w:val="24"/>
                <w:szCs w:val="24"/>
                <w:u w:val="single"/>
              </w:rPr>
              <w:t>only</w:t>
            </w:r>
            <w:r w:rsidRPr="00E97D71">
              <w:rPr>
                <w:rFonts w:cstheme="minorHAnsi"/>
                <w:sz w:val="24"/>
                <w:szCs w:val="24"/>
              </w:rPr>
              <w:t xml:space="preserve"> to modify case mix and services (previously referred to as Activity Type 10), the following applies</w:t>
            </w:r>
            <w:r>
              <w:rPr>
                <w:rFonts w:cstheme="minorHAnsi"/>
                <w:sz w:val="24"/>
                <w:szCs w:val="24"/>
              </w:rPr>
              <w:t xml:space="preserve"> and will not impact your 365-day reassessment schedule:</w:t>
            </w:r>
          </w:p>
          <w:p w14:paraId="6B6ED99E" w14:textId="77777777" w:rsidR="006F2536" w:rsidRPr="00E97D71" w:rsidRDefault="006F2536" w:rsidP="006F2536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</w:p>
          <w:p w14:paraId="169F6A67" w14:textId="77777777" w:rsidR="006F2536" w:rsidRDefault="006F2536" w:rsidP="006F2536">
            <w:pPr>
              <w:pStyle w:val="ListParagraph"/>
              <w:numPr>
                <w:ilvl w:val="0"/>
                <w:numId w:val="20"/>
              </w:numPr>
              <w:tabs>
                <w:tab w:val="left" w:pos="4890"/>
              </w:tabs>
              <w:spacing w:before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Adjust only </w:t>
            </w:r>
            <w:r w:rsidRPr="00E420F1">
              <w:rPr>
                <w:rFonts w:cstheme="minorHAnsi"/>
                <w:sz w:val="24"/>
                <w:szCs w:val="24"/>
              </w:rPr>
              <w:t xml:space="preserve">the LTCC span in BV: set a new start date but retain the original end date from the previous full FF assessment.  Mark </w:t>
            </w:r>
            <w:r>
              <w:rPr>
                <w:rFonts w:cstheme="minorHAnsi"/>
                <w:sz w:val="24"/>
                <w:szCs w:val="24"/>
              </w:rPr>
              <w:t>Y under</w:t>
            </w:r>
            <w:r w:rsidRPr="00E420F1">
              <w:rPr>
                <w:rFonts w:cstheme="minorHAnsi"/>
                <w:sz w:val="24"/>
                <w:szCs w:val="24"/>
              </w:rPr>
              <w:t xml:space="preserve"> Activity Type 10</w:t>
            </w:r>
            <w:r>
              <w:rPr>
                <w:rFonts w:cstheme="minorHAnsi"/>
                <w:sz w:val="24"/>
                <w:szCs w:val="24"/>
              </w:rPr>
              <w:t xml:space="preserve"> FNU.</w:t>
            </w:r>
          </w:p>
          <w:p w14:paraId="7CC1A963" w14:textId="77777777" w:rsidR="006F2536" w:rsidRDefault="006F2536" w:rsidP="006F2536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</w:p>
          <w:p w14:paraId="2C8C2F1B" w14:textId="77777777" w:rsidR="006F2536" w:rsidRPr="00C917E8" w:rsidRDefault="006F2536" w:rsidP="006F2536">
            <w:pPr>
              <w:tabs>
                <w:tab w:val="left" w:pos="48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4D4CA1" wp14:editId="1F819DD3">
                  <wp:extent cx="2495678" cy="1981302"/>
                  <wp:effectExtent l="0" t="0" r="0" b="0"/>
                  <wp:docPr id="10703901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39019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678" cy="1981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F7E744" w14:textId="77777777" w:rsidR="006F2536" w:rsidRPr="00E97D71" w:rsidRDefault="006F2536" w:rsidP="006F2536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</w:p>
          <w:p w14:paraId="796FE7FA" w14:textId="77777777" w:rsidR="006F2536" w:rsidRDefault="006F2536" w:rsidP="006F2536">
            <w:pPr>
              <w:pStyle w:val="ListParagraph"/>
              <w:numPr>
                <w:ilvl w:val="0"/>
                <w:numId w:val="20"/>
              </w:numPr>
              <w:tabs>
                <w:tab w:val="left" w:pos="4890"/>
              </w:tabs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E420F1">
              <w:rPr>
                <w:rFonts w:cstheme="minorHAnsi"/>
                <w:sz w:val="24"/>
                <w:szCs w:val="24"/>
              </w:rPr>
              <w:t>Create necessary changes in Service Authorization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  <w:p w14:paraId="55235E93" w14:textId="77777777" w:rsidR="006F2536" w:rsidRPr="0011650D" w:rsidRDefault="006F2536" w:rsidP="006F2536">
            <w:pPr>
              <w:pStyle w:val="ListParagraph"/>
              <w:spacing w:before="0"/>
              <w:rPr>
                <w:rFonts w:cstheme="minorHAnsi"/>
                <w:sz w:val="24"/>
                <w:szCs w:val="24"/>
              </w:rPr>
            </w:pPr>
          </w:p>
          <w:p w14:paraId="48F017E0" w14:textId="77777777" w:rsidR="006F2536" w:rsidRPr="00E420F1" w:rsidRDefault="006F2536" w:rsidP="006F2536">
            <w:pPr>
              <w:pStyle w:val="ListParagraph"/>
              <w:numPr>
                <w:ilvl w:val="0"/>
                <w:numId w:val="20"/>
              </w:numPr>
              <w:tabs>
                <w:tab w:val="left" w:pos="4890"/>
              </w:tabs>
              <w:spacing w:before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not enter another Health Risk Assessment entry into Bridgeview as we want the next reassessment due date to correctly calculate from the date of the assessment not the date of a significant change assessment (formerly Activity Type 10)</w:t>
            </w:r>
          </w:p>
          <w:p w14:paraId="3DD0CA7C" w14:textId="77777777" w:rsidR="006F2536" w:rsidRPr="00E97D71" w:rsidRDefault="006F2536" w:rsidP="006F2536">
            <w:pPr>
              <w:tabs>
                <w:tab w:val="left" w:pos="4890"/>
              </w:tabs>
              <w:rPr>
                <w:rFonts w:cstheme="minorHAnsi"/>
                <w:sz w:val="24"/>
                <w:szCs w:val="24"/>
              </w:rPr>
            </w:pPr>
          </w:p>
          <w:p w14:paraId="254E15B2" w14:textId="3159797C" w:rsidR="0074453E" w:rsidRPr="00C30B6E" w:rsidRDefault="0074453E" w:rsidP="0074453E">
            <w:pPr>
              <w:rPr>
                <w:rFonts w:cstheme="minorHAnsi"/>
              </w:rPr>
            </w:pPr>
          </w:p>
          <w:p w14:paraId="3FA321BC" w14:textId="10190690" w:rsidR="0074453E" w:rsidRPr="00C30B6E" w:rsidRDefault="0074453E" w:rsidP="0074453E">
            <w:pPr>
              <w:rPr>
                <w:rFonts w:cstheme="minorHAnsi"/>
              </w:rPr>
            </w:pPr>
          </w:p>
          <w:p w14:paraId="7051FB7E" w14:textId="77777777" w:rsidR="0074453E" w:rsidRPr="007E4567" w:rsidRDefault="0074453E" w:rsidP="0074453E">
            <w:pPr>
              <w:rPr>
                <w:rFonts w:cstheme="minorHAnsi"/>
                <w:sz w:val="24"/>
                <w:szCs w:val="24"/>
              </w:rPr>
            </w:pPr>
          </w:p>
          <w:p w14:paraId="1429F495" w14:textId="77777777" w:rsidR="0074453E" w:rsidRPr="00C30B6E" w:rsidRDefault="0074453E" w:rsidP="0074453E">
            <w:pPr>
              <w:rPr>
                <w:rFonts w:cstheme="minorHAnsi"/>
              </w:rPr>
            </w:pPr>
          </w:p>
          <w:p w14:paraId="2898A982" w14:textId="77777777" w:rsidR="0074453E" w:rsidRPr="00C30B6E" w:rsidRDefault="0074453E" w:rsidP="0074453E">
            <w:pPr>
              <w:tabs>
                <w:tab w:val="left" w:pos="4890"/>
              </w:tabs>
              <w:rPr>
                <w:rFonts w:cstheme="minorHAnsi"/>
              </w:rPr>
            </w:pPr>
            <w:r w:rsidRPr="00C30B6E">
              <w:rPr>
                <w:rFonts w:cstheme="minorHAnsi"/>
              </w:rPr>
              <w:tab/>
            </w:r>
          </w:p>
        </w:tc>
      </w:tr>
    </w:tbl>
    <w:p w14:paraId="404D7F97" w14:textId="77777777" w:rsidR="00F04D76" w:rsidRPr="00C30B6E" w:rsidRDefault="00F04D76">
      <w:pPr>
        <w:rPr>
          <w:rFonts w:cstheme="minorHAnsi"/>
          <w:sz w:val="24"/>
          <w:szCs w:val="24"/>
        </w:rPr>
      </w:pPr>
    </w:p>
    <w:p w14:paraId="2E4CE39D" w14:textId="77777777" w:rsidR="00F04D76" w:rsidRPr="00C30B6E" w:rsidRDefault="00F04D76">
      <w:pPr>
        <w:rPr>
          <w:rFonts w:cstheme="minorHAnsi"/>
          <w:sz w:val="24"/>
          <w:szCs w:val="24"/>
        </w:rPr>
      </w:pPr>
    </w:p>
    <w:p w14:paraId="5724CEDC" w14:textId="77777777" w:rsidR="00F04D76" w:rsidRPr="00C30B6E" w:rsidRDefault="00F04D76">
      <w:pPr>
        <w:rPr>
          <w:rFonts w:cstheme="minorHAnsi"/>
          <w:sz w:val="24"/>
          <w:szCs w:val="24"/>
        </w:rPr>
      </w:pPr>
    </w:p>
    <w:p w14:paraId="118BB89E" w14:textId="77777777" w:rsidR="00F04D76" w:rsidRPr="00C30B6E" w:rsidRDefault="00F04D76">
      <w:pPr>
        <w:rPr>
          <w:rFonts w:cstheme="minorHAnsi"/>
          <w:sz w:val="24"/>
          <w:szCs w:val="24"/>
        </w:rPr>
      </w:pPr>
    </w:p>
    <w:p w14:paraId="57B08A8B" w14:textId="77777777" w:rsidR="00FA7110" w:rsidRPr="00C30B6E" w:rsidRDefault="00FA7110">
      <w:pPr>
        <w:rPr>
          <w:rFonts w:cstheme="minorHAnsi"/>
          <w:sz w:val="24"/>
          <w:szCs w:val="24"/>
        </w:rPr>
      </w:pPr>
    </w:p>
    <w:p w14:paraId="1B046C4A" w14:textId="77777777" w:rsidR="00FA7110" w:rsidRPr="00C30B6E" w:rsidRDefault="00FA7110" w:rsidP="005D6BC6">
      <w:pPr>
        <w:tabs>
          <w:tab w:val="left" w:pos="2520"/>
        </w:tabs>
        <w:rPr>
          <w:rFonts w:cstheme="minorHAnsi"/>
          <w:sz w:val="24"/>
          <w:szCs w:val="24"/>
        </w:rPr>
      </w:pPr>
    </w:p>
    <w:p w14:paraId="3544C243" w14:textId="5E87CDE4" w:rsidR="00CA04A0" w:rsidRPr="00C30B6E" w:rsidRDefault="00CA04A0">
      <w:pPr>
        <w:rPr>
          <w:rFonts w:cstheme="minorHAnsi"/>
          <w:sz w:val="24"/>
          <w:szCs w:val="24"/>
        </w:rPr>
      </w:pPr>
    </w:p>
    <w:p w14:paraId="2DD46C7A" w14:textId="4EC981B7" w:rsidR="00CA04A0" w:rsidRPr="00C30B6E" w:rsidRDefault="00CA04A0">
      <w:pPr>
        <w:rPr>
          <w:rFonts w:cstheme="minorHAnsi"/>
          <w:sz w:val="24"/>
          <w:szCs w:val="24"/>
        </w:rPr>
      </w:pPr>
    </w:p>
    <w:p w14:paraId="76A88B70" w14:textId="5D030BAA" w:rsidR="00CA04A0" w:rsidRPr="00C30B6E" w:rsidRDefault="00CA04A0">
      <w:pPr>
        <w:rPr>
          <w:rFonts w:cstheme="minorHAnsi"/>
          <w:sz w:val="24"/>
          <w:szCs w:val="24"/>
        </w:rPr>
      </w:pPr>
    </w:p>
    <w:p w14:paraId="0CB19B44" w14:textId="32257D1A" w:rsidR="00CA04A0" w:rsidRPr="00C30B6E" w:rsidRDefault="00CA04A0" w:rsidP="00D5294C">
      <w:pPr>
        <w:rPr>
          <w:rFonts w:cstheme="minorHAnsi"/>
          <w:sz w:val="24"/>
          <w:szCs w:val="24"/>
        </w:rPr>
      </w:pPr>
    </w:p>
    <w:p w14:paraId="14017EAE" w14:textId="5E31E0A1" w:rsidR="00CA04A0" w:rsidRPr="00C30B6E" w:rsidRDefault="00CA04A0" w:rsidP="00D5294C">
      <w:pPr>
        <w:rPr>
          <w:rFonts w:cstheme="minorHAnsi"/>
          <w:sz w:val="24"/>
          <w:szCs w:val="24"/>
        </w:rPr>
      </w:pPr>
    </w:p>
    <w:p w14:paraId="0B2F0979" w14:textId="77777777" w:rsidR="00CA04A0" w:rsidRPr="00C30B6E" w:rsidRDefault="00CA04A0" w:rsidP="00D5294C">
      <w:pPr>
        <w:rPr>
          <w:rFonts w:cstheme="minorHAnsi"/>
          <w:sz w:val="24"/>
          <w:szCs w:val="24"/>
        </w:rPr>
      </w:pPr>
    </w:p>
    <w:p w14:paraId="44AC8187" w14:textId="77777777" w:rsidR="00CA04A0" w:rsidRPr="00C30B6E" w:rsidRDefault="00CA04A0" w:rsidP="00D5294C">
      <w:pPr>
        <w:rPr>
          <w:rFonts w:cstheme="minorHAnsi"/>
          <w:sz w:val="24"/>
          <w:szCs w:val="24"/>
        </w:rPr>
      </w:pPr>
    </w:p>
    <w:p w14:paraId="142F2F1E" w14:textId="77777777" w:rsidR="00BB1FFD" w:rsidRPr="00C30B6E" w:rsidRDefault="00BB1FFD" w:rsidP="00D5294C">
      <w:pPr>
        <w:rPr>
          <w:rFonts w:cstheme="minorHAnsi"/>
          <w:sz w:val="24"/>
          <w:szCs w:val="24"/>
        </w:rPr>
      </w:pPr>
    </w:p>
    <w:p w14:paraId="4590D332" w14:textId="785BB04C" w:rsidR="00BB1FFD" w:rsidRPr="00C30B6E" w:rsidRDefault="00BB1FFD" w:rsidP="00BB1FFD">
      <w:pPr>
        <w:rPr>
          <w:rFonts w:cstheme="minorHAnsi"/>
          <w:sz w:val="24"/>
          <w:szCs w:val="24"/>
        </w:rPr>
      </w:pPr>
    </w:p>
    <w:p w14:paraId="6C70ECE1" w14:textId="0C6A678B" w:rsidR="00BB1FFD" w:rsidRPr="00C30B6E" w:rsidRDefault="00BB1FFD" w:rsidP="00BB1FFD">
      <w:pPr>
        <w:rPr>
          <w:rFonts w:cstheme="minorHAnsi"/>
          <w:sz w:val="24"/>
          <w:szCs w:val="24"/>
        </w:rPr>
      </w:pPr>
    </w:p>
    <w:p w14:paraId="312A35C6" w14:textId="2D4576B2" w:rsidR="00690495" w:rsidRPr="00C30B6E" w:rsidRDefault="00690495" w:rsidP="00690495">
      <w:pPr>
        <w:tabs>
          <w:tab w:val="left" w:pos="5355"/>
        </w:tabs>
        <w:rPr>
          <w:rFonts w:cstheme="minorHAnsi"/>
          <w:sz w:val="24"/>
          <w:szCs w:val="24"/>
        </w:rPr>
      </w:pPr>
    </w:p>
    <w:sectPr w:rsidR="00690495" w:rsidRPr="00C30B6E" w:rsidSect="0074453E">
      <w:headerReference w:type="default" r:id="rId14"/>
      <w:pgSz w:w="20160" w:h="12240" w:orient="landscape" w:code="5"/>
      <w:pgMar w:top="720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8B85" w14:textId="77777777" w:rsidR="00FC0731" w:rsidRDefault="00FC0731" w:rsidP="00BB1FFD">
      <w:pPr>
        <w:spacing w:after="0" w:line="240" w:lineRule="auto"/>
      </w:pPr>
      <w:r>
        <w:separator/>
      </w:r>
    </w:p>
  </w:endnote>
  <w:endnote w:type="continuationSeparator" w:id="0">
    <w:p w14:paraId="6454F228" w14:textId="77777777" w:rsidR="00FC0731" w:rsidRDefault="00FC0731" w:rsidP="00BB1FFD">
      <w:pPr>
        <w:spacing w:after="0" w:line="240" w:lineRule="auto"/>
      </w:pPr>
      <w:r>
        <w:continuationSeparator/>
      </w:r>
    </w:p>
  </w:endnote>
  <w:endnote w:type="continuationNotice" w:id="1">
    <w:p w14:paraId="37FEC19F" w14:textId="77777777" w:rsidR="001F7B3B" w:rsidRDefault="001F7B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6571" w14:textId="77777777" w:rsidR="00FC0731" w:rsidRDefault="00FC0731" w:rsidP="00BB1FFD">
      <w:pPr>
        <w:spacing w:after="0" w:line="240" w:lineRule="auto"/>
      </w:pPr>
      <w:r>
        <w:separator/>
      </w:r>
    </w:p>
  </w:footnote>
  <w:footnote w:type="continuationSeparator" w:id="0">
    <w:p w14:paraId="00A3B16F" w14:textId="77777777" w:rsidR="00FC0731" w:rsidRDefault="00FC0731" w:rsidP="00BB1FFD">
      <w:pPr>
        <w:spacing w:after="0" w:line="240" w:lineRule="auto"/>
      </w:pPr>
      <w:r>
        <w:continuationSeparator/>
      </w:r>
    </w:p>
  </w:footnote>
  <w:footnote w:type="continuationNotice" w:id="1">
    <w:p w14:paraId="36A328A4" w14:textId="77777777" w:rsidR="001F7B3B" w:rsidRDefault="001F7B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801F" w14:textId="73E1A10E" w:rsidR="00AF1D04" w:rsidRDefault="007445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4BD564" wp14:editId="1FEC562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989758" cy="1228725"/>
          <wp:effectExtent l="0" t="0" r="2540" b="0"/>
          <wp:wrapNone/>
          <wp:docPr id="6" name="Picture 6" descr="highlight chart header_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ighlight chart header_5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7226" cy="122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FFC">
      <w:rPr>
        <w:noProof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6216301F" wp14:editId="7E1F1CB2">
              <wp:simplePos x="0" y="0"/>
              <wp:positionH relativeFrom="page">
                <wp:posOffset>7620</wp:posOffset>
              </wp:positionH>
              <wp:positionV relativeFrom="page">
                <wp:posOffset>0</wp:posOffset>
              </wp:positionV>
              <wp:extent cx="1914525" cy="4244340"/>
              <wp:effectExtent l="0" t="0" r="9525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42443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BA34E" w14:textId="77777777" w:rsidR="005C7FFC" w:rsidRDefault="005C7FFC" w:rsidP="005C7FFC">
                          <w:pP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bookmarkStart w:id="0" w:name="_Hlk132280772"/>
                          <w:bookmarkEnd w:id="0"/>
                        </w:p>
                        <w:p w14:paraId="36049425" w14:textId="77777777" w:rsidR="005C7FFC" w:rsidRPr="00F5483A" w:rsidRDefault="005C7FFC" w:rsidP="005C7FFC">
                          <w:pPr>
                            <w:rPr>
                              <w:rFonts w:ascii="Franklin Gothic Book" w:hAnsi="Franklin Gothic Book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Partner Relations Team Government Markets </w:t>
                          </w:r>
                        </w:p>
                        <w:p w14:paraId="68B41ABE" w14:textId="77777777" w:rsidR="005C7FFC" w:rsidRPr="00F5483A" w:rsidRDefault="005C7FFC" w:rsidP="005C7FFC">
                          <w:pPr>
                            <w:spacing w:after="0" w:line="240" w:lineRule="auto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Manager: </w:t>
                          </w:r>
                        </w:p>
                        <w:p w14:paraId="6072D9EA" w14:textId="77777777" w:rsidR="005C7FFC" w:rsidRPr="00F5483A" w:rsidRDefault="005C7FFC" w:rsidP="005C7FFC">
                          <w:pPr>
                            <w:spacing w:after="0" w:line="240" w:lineRule="auto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Stormy Church</w:t>
                          </w:r>
                        </w:p>
                        <w:p w14:paraId="311EDF9E" w14:textId="77777777" w:rsidR="005C7FFC" w:rsidRPr="00F5483A" w:rsidRDefault="005C7FFC" w:rsidP="005C7FFC">
                          <w:pPr>
                            <w:spacing w:after="0" w:line="240" w:lineRule="auto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087582AC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Consultants: </w:t>
                          </w:r>
                        </w:p>
                        <w:p w14:paraId="1F22C4E5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Kim Flom</w:t>
                          </w:r>
                        </w:p>
                        <w:p w14:paraId="3329DB0F" w14:textId="2091A1B3" w:rsidR="00EC4AA6" w:rsidRDefault="00EC4AA6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Bobbi Jo Glood</w:t>
                          </w:r>
                        </w:p>
                        <w:p w14:paraId="13E858D0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Melinda Heaser</w:t>
                          </w:r>
                        </w:p>
                        <w:p w14:paraId="1EFC7573" w14:textId="38C24DE4" w:rsidR="00AD5757" w:rsidRDefault="00AD5757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Sara Miller</w:t>
                          </w:r>
                        </w:p>
                        <w:p w14:paraId="53A3F250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Cate Ness </w:t>
                          </w:r>
                        </w:p>
                        <w:p w14:paraId="5393BD3B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Kim Pirkl </w:t>
                          </w:r>
                        </w:p>
                        <w:p w14:paraId="178E1E2E" w14:textId="77777777" w:rsidR="005C7FFC" w:rsidRPr="00F5483A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Ricky Vang</w:t>
                          </w:r>
                        </w:p>
                        <w:p w14:paraId="42288335" w14:textId="77777777" w:rsidR="005C7FFC" w:rsidRDefault="005C7FFC" w:rsidP="005C7FF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630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6pt;margin-top:0;width:150.75pt;height:334.2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" fillcolor="#00b0f0" stroked="f">
              <v:textbox>
                <w:txbxContent>
                  <w:p w14:paraId="068BA34E" w14:textId="77777777" w:rsidR="005C7FFC" w:rsidRDefault="005C7FFC" w:rsidP="005C7FFC">
                    <w:pP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bookmarkStart w:id="1" w:name="_Hlk132280772"/>
                    <w:bookmarkEnd w:id="1"/>
                  </w:p>
                  <w:p w14:paraId="36049425" w14:textId="77777777" w:rsidR="005C7FFC" w:rsidRPr="00F5483A" w:rsidRDefault="005C7FFC" w:rsidP="005C7FFC">
                    <w:pPr>
                      <w:rPr>
                        <w:rFonts w:ascii="Franklin Gothic Book" w:hAnsi="Franklin Gothic Book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Partner Relations Team Government Markets </w:t>
                    </w:r>
                  </w:p>
                  <w:p w14:paraId="68B41ABE" w14:textId="77777777" w:rsidR="005C7FFC" w:rsidRPr="00F5483A" w:rsidRDefault="005C7FFC" w:rsidP="005C7FFC">
                    <w:pPr>
                      <w:spacing w:after="0" w:line="240" w:lineRule="auto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Manager: </w:t>
                    </w:r>
                  </w:p>
                  <w:p w14:paraId="6072D9EA" w14:textId="77777777" w:rsidR="005C7FFC" w:rsidRPr="00F5483A" w:rsidRDefault="005C7FFC" w:rsidP="005C7FFC">
                    <w:pPr>
                      <w:spacing w:after="0" w:line="240" w:lineRule="auto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Stormy Church</w:t>
                    </w:r>
                  </w:p>
                  <w:p w14:paraId="311EDF9E" w14:textId="77777777" w:rsidR="005C7FFC" w:rsidRPr="00F5483A" w:rsidRDefault="005C7FFC" w:rsidP="005C7FFC">
                    <w:pPr>
                      <w:spacing w:after="0" w:line="240" w:lineRule="auto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087582AC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Consultants: </w:t>
                    </w:r>
                  </w:p>
                  <w:p w14:paraId="1F22C4E5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Kim Flom</w:t>
                    </w:r>
                  </w:p>
                  <w:p w14:paraId="3329DB0F" w14:textId="2091A1B3" w:rsidR="00EC4AA6" w:rsidRDefault="00EC4AA6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Bobbi Jo Glood</w:t>
                    </w:r>
                  </w:p>
                  <w:p w14:paraId="13E858D0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Melinda Heaser</w:t>
                    </w:r>
                  </w:p>
                  <w:p w14:paraId="1EFC7573" w14:textId="38C24DE4" w:rsidR="00AD5757" w:rsidRDefault="00AD5757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Sara Miller</w:t>
                    </w:r>
                  </w:p>
                  <w:p w14:paraId="53A3F250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Cate Ness </w:t>
                    </w:r>
                  </w:p>
                  <w:p w14:paraId="5393BD3B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Kim Pirkl </w:t>
                    </w:r>
                  </w:p>
                  <w:p w14:paraId="178E1E2E" w14:textId="77777777" w:rsidR="005C7FFC" w:rsidRPr="00F5483A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Ricky Vang</w:t>
                    </w:r>
                  </w:p>
                  <w:p w14:paraId="42288335" w14:textId="77777777" w:rsidR="005C7FFC" w:rsidRDefault="005C7FFC" w:rsidP="005C7FFC"/>
                </w:txbxContent>
              </v:textbox>
              <w10:wrap anchorx="page" anchory="page"/>
            </v:shape>
          </w:pict>
        </mc:Fallback>
      </mc:AlternateContent>
    </w:r>
    <w:r w:rsidR="00CA04A0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F8D60B0" wp14:editId="40852774">
              <wp:simplePos x="0" y="0"/>
              <wp:positionH relativeFrom="margin">
                <wp:posOffset>-447675</wp:posOffset>
              </wp:positionH>
              <wp:positionV relativeFrom="page">
                <wp:align>top</wp:align>
              </wp:positionV>
              <wp:extent cx="2562225" cy="9334500"/>
              <wp:effectExtent l="0" t="0" r="9525" b="0"/>
              <wp:wrapNone/>
              <wp:docPr id="5" name="Freeform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62225" cy="9334500"/>
                      </a:xfrm>
                      <a:custGeom>
                        <a:avLst/>
                        <a:gdLst>
                          <a:gd name="T0" fmla="*/ 5139 w 5140"/>
                          <a:gd name="T1" fmla="*/ 15839 h 15840"/>
                          <a:gd name="T2" fmla="*/ 5137 w 5140"/>
                          <a:gd name="T3" fmla="*/ 15764 h 15840"/>
                          <a:gd name="T4" fmla="*/ 5130 w 5140"/>
                          <a:gd name="T5" fmla="*/ 15689 h 15840"/>
                          <a:gd name="T6" fmla="*/ 5120 w 5140"/>
                          <a:gd name="T7" fmla="*/ 15616 h 15840"/>
                          <a:gd name="T8" fmla="*/ 5105 w 5140"/>
                          <a:gd name="T9" fmla="*/ 15544 h 15840"/>
                          <a:gd name="T10" fmla="*/ 5086 w 5140"/>
                          <a:gd name="T11" fmla="*/ 15474 h 15840"/>
                          <a:gd name="T12" fmla="*/ 5063 w 5140"/>
                          <a:gd name="T13" fmla="*/ 15405 h 15840"/>
                          <a:gd name="T14" fmla="*/ 5036 w 5140"/>
                          <a:gd name="T15" fmla="*/ 15338 h 15840"/>
                          <a:gd name="T16" fmla="*/ 5006 w 5140"/>
                          <a:gd name="T17" fmla="*/ 15273 h 15840"/>
                          <a:gd name="T18" fmla="*/ 4972 w 5140"/>
                          <a:gd name="T19" fmla="*/ 15210 h 15840"/>
                          <a:gd name="T20" fmla="*/ 4935 w 5140"/>
                          <a:gd name="T21" fmla="*/ 15149 h 15840"/>
                          <a:gd name="T22" fmla="*/ 4895 w 5140"/>
                          <a:gd name="T23" fmla="*/ 15090 h 15840"/>
                          <a:gd name="T24" fmla="*/ 4851 w 5140"/>
                          <a:gd name="T25" fmla="*/ 15034 h 15840"/>
                          <a:gd name="T26" fmla="*/ 4805 w 5140"/>
                          <a:gd name="T27" fmla="*/ 14980 h 15840"/>
                          <a:gd name="T28" fmla="*/ 4755 w 5140"/>
                          <a:gd name="T29" fmla="*/ 14928 h 15840"/>
                          <a:gd name="T30" fmla="*/ 4703 w 5140"/>
                          <a:gd name="T31" fmla="*/ 14880 h 15840"/>
                          <a:gd name="T32" fmla="*/ 4648 w 5140"/>
                          <a:gd name="T33" fmla="*/ 14834 h 15840"/>
                          <a:gd name="T34" fmla="*/ 4591 w 5140"/>
                          <a:gd name="T35" fmla="*/ 14791 h 15840"/>
                          <a:gd name="T36" fmla="*/ 4531 w 5140"/>
                          <a:gd name="T37" fmla="*/ 14752 h 15840"/>
                          <a:gd name="T38" fmla="*/ 4469 w 5140"/>
                          <a:gd name="T39" fmla="*/ 14715 h 15840"/>
                          <a:gd name="T40" fmla="*/ 4405 w 5140"/>
                          <a:gd name="T41" fmla="*/ 14682 h 15840"/>
                          <a:gd name="T42" fmla="*/ 4339 w 5140"/>
                          <a:gd name="T43" fmla="*/ 14652 h 15840"/>
                          <a:gd name="T44" fmla="*/ 4271 w 5140"/>
                          <a:gd name="T45" fmla="*/ 14626 h 15840"/>
                          <a:gd name="T46" fmla="*/ 4201 w 5140"/>
                          <a:gd name="T47" fmla="*/ 14604 h 15840"/>
                          <a:gd name="T48" fmla="*/ 4129 w 5140"/>
                          <a:gd name="T49" fmla="*/ 14585 h 15840"/>
                          <a:gd name="T50" fmla="*/ 4056 w 5140"/>
                          <a:gd name="T51" fmla="*/ 14571 h 15840"/>
                          <a:gd name="T52" fmla="*/ 3982 w 5140"/>
                          <a:gd name="T53" fmla="*/ 14560 h 15840"/>
                          <a:gd name="T54" fmla="*/ 3906 w 5140"/>
                          <a:gd name="T55" fmla="*/ 14553 h 15840"/>
                          <a:gd name="T56" fmla="*/ 3840 w 5140"/>
                          <a:gd name="T57" fmla="*/ 14552 h 15840"/>
                          <a:gd name="T58" fmla="*/ 3840 w 5140"/>
                          <a:gd name="T59" fmla="*/ 0 h 15840"/>
                          <a:gd name="T60" fmla="*/ 0 w 5140"/>
                          <a:gd name="T61" fmla="*/ 0 h 15840"/>
                          <a:gd name="T62" fmla="*/ 0 w 5140"/>
                          <a:gd name="T63" fmla="*/ 15840 h 15840"/>
                          <a:gd name="T64" fmla="*/ 3840 w 5140"/>
                          <a:gd name="T65" fmla="*/ 15840 h 15840"/>
                          <a:gd name="T66" fmla="*/ 3840 w 5140"/>
                          <a:gd name="T67" fmla="*/ 15839 h 15840"/>
                          <a:gd name="T68" fmla="*/ 5139 w 5140"/>
                          <a:gd name="T69" fmla="*/ 15839 h 158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</a:cxnLst>
                        <a:rect l="0" t="0" r="r" b="b"/>
                        <a:pathLst>
                          <a:path w="5140" h="15840">
                            <a:moveTo>
                              <a:pt x="5139" y="15839"/>
                            </a:moveTo>
                            <a:lnTo>
                              <a:pt x="5137" y="15764"/>
                            </a:lnTo>
                            <a:lnTo>
                              <a:pt x="5130" y="15689"/>
                            </a:lnTo>
                            <a:lnTo>
                              <a:pt x="5120" y="15616"/>
                            </a:lnTo>
                            <a:lnTo>
                              <a:pt x="5105" y="15544"/>
                            </a:lnTo>
                            <a:lnTo>
                              <a:pt x="5086" y="15474"/>
                            </a:lnTo>
                            <a:lnTo>
                              <a:pt x="5063" y="15405"/>
                            </a:lnTo>
                            <a:lnTo>
                              <a:pt x="5036" y="15338"/>
                            </a:lnTo>
                            <a:lnTo>
                              <a:pt x="5006" y="15273"/>
                            </a:lnTo>
                            <a:lnTo>
                              <a:pt x="4972" y="15210"/>
                            </a:lnTo>
                            <a:lnTo>
                              <a:pt x="4935" y="15149"/>
                            </a:lnTo>
                            <a:lnTo>
                              <a:pt x="4895" y="15090"/>
                            </a:lnTo>
                            <a:lnTo>
                              <a:pt x="4851" y="15034"/>
                            </a:lnTo>
                            <a:lnTo>
                              <a:pt x="4805" y="14980"/>
                            </a:lnTo>
                            <a:lnTo>
                              <a:pt x="4755" y="14928"/>
                            </a:lnTo>
                            <a:lnTo>
                              <a:pt x="4703" y="14880"/>
                            </a:lnTo>
                            <a:lnTo>
                              <a:pt x="4648" y="14834"/>
                            </a:lnTo>
                            <a:lnTo>
                              <a:pt x="4591" y="14791"/>
                            </a:lnTo>
                            <a:lnTo>
                              <a:pt x="4531" y="14752"/>
                            </a:lnTo>
                            <a:lnTo>
                              <a:pt x="4469" y="14715"/>
                            </a:lnTo>
                            <a:lnTo>
                              <a:pt x="4405" y="14682"/>
                            </a:lnTo>
                            <a:lnTo>
                              <a:pt x="4339" y="14652"/>
                            </a:lnTo>
                            <a:lnTo>
                              <a:pt x="4271" y="14626"/>
                            </a:lnTo>
                            <a:lnTo>
                              <a:pt x="4201" y="14604"/>
                            </a:lnTo>
                            <a:lnTo>
                              <a:pt x="4129" y="14585"/>
                            </a:lnTo>
                            <a:lnTo>
                              <a:pt x="4056" y="14571"/>
                            </a:lnTo>
                            <a:lnTo>
                              <a:pt x="3982" y="14560"/>
                            </a:lnTo>
                            <a:lnTo>
                              <a:pt x="3906" y="14553"/>
                            </a:lnTo>
                            <a:lnTo>
                              <a:pt x="3840" y="14552"/>
                            </a:lnTo>
                            <a:lnTo>
                              <a:pt x="3840" y="0"/>
                            </a:lnTo>
                            <a:lnTo>
                              <a:pt x="0" y="0"/>
                            </a:lnTo>
                            <a:lnTo>
                              <a:pt x="0" y="15840"/>
                            </a:lnTo>
                            <a:lnTo>
                              <a:pt x="3840" y="15840"/>
                            </a:lnTo>
                            <a:lnTo>
                              <a:pt x="3840" y="15839"/>
                            </a:lnTo>
                            <a:lnTo>
                              <a:pt x="5139" y="15839"/>
                            </a:lnTo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7256D8" id="Freeform 45" o:spid="_x0000_s1026" style="position:absolute;margin-left:-35.25pt;margin-top:0;width:201.75pt;height:73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00b0f0" stroked="f">
              <v:path arrowok="t" o:connecttype="custom" o:connectlocs="2561727,9333911;2560730,9289713;2557240,9245516;2552255,9202497;2544778,9160067;2535307,9118816;2523841,9078155;2510382,9038672;2495428,9000367;2478479,8963241;2460035,8927294;2440096,8892526;2418162,8859525;2395232,8827703;2370307,8797059;2344386,8768773;2316969,8741665;2288555,8716325;2258646,8693342;2227740,8671538;2195837,8652091;2162937,8634413;2129039,8619091;2094145,8606126;2058254,8594929;2021865,8586679;1984977,8580197;1947092,8576072;1914191,8575483;1914191,0;0,0;0,9334500;1914191,9334500;1914191,9333911;2561727,9333911" o:connectangles="0,0,0,0,0,0,0,0,0,0,0,0,0,0,0,0,0,0,0,0,0,0,0,0,0,0,0,0,0,0,0,0,0,0,0"/>
              <w10:wrap anchorx="margin" anchory="page"/>
            </v:shape>
          </w:pict>
        </mc:Fallback>
      </mc:AlternateContent>
    </w:r>
    <w:r w:rsidR="006B5D91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7358D35" wp14:editId="2270C5C3">
              <wp:simplePos x="0" y="0"/>
              <wp:positionH relativeFrom="column">
                <wp:posOffset>3733800</wp:posOffset>
              </wp:positionH>
              <wp:positionV relativeFrom="paragraph">
                <wp:posOffset>-723900</wp:posOffset>
              </wp:positionV>
              <wp:extent cx="2360930" cy="914400"/>
              <wp:effectExtent l="0" t="0" r="0" b="0"/>
              <wp:wrapSquare wrapText="bothSides"/>
              <wp:docPr id="18581261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4A7A" w14:textId="77777777" w:rsidR="006B5D91" w:rsidRPr="000E65FF" w:rsidRDefault="006B5D91" w:rsidP="006B5D91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0E65FF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Blue Plus Communique</w:t>
                          </w:r>
                        </w:p>
                        <w:p w14:paraId="3E533087" w14:textId="70154265" w:rsidR="00AF1D04" w:rsidRPr="00AF1D04" w:rsidRDefault="006F2536" w:rsidP="00AF1D04">
                          <w:pPr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7-18-2025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58D35" id="_x0000_s1027" type="#_x0000_t202" style="position:absolute;margin-left:294pt;margin-top:-57pt;width:185.9pt;height:1in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" filled="f" stroked="f">
              <v:textbox>
                <w:txbxContent>
                  <w:p w14:paraId="4D314A7A" w14:textId="77777777" w:rsidR="006B5D91" w:rsidRPr="000E65FF" w:rsidRDefault="006B5D91" w:rsidP="006B5D91">
                    <w:pPr>
                      <w:jc w:val="center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0E65FF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Blue Plus Communique</w:t>
                    </w:r>
                  </w:p>
                  <w:p w14:paraId="3E533087" w14:textId="70154265" w:rsidR="00AF1D04" w:rsidRPr="00AF1D04" w:rsidRDefault="006F2536" w:rsidP="00AF1D04">
                    <w:pPr>
                      <w:jc w:val="center"/>
                      <w:rPr>
                        <w:rFonts w:ascii="Franklin Gothic Book" w:hAnsi="Franklin Gothic Book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7-18-2025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C2F9D84" w14:textId="0AAA33D7" w:rsidR="00AF1D04" w:rsidRDefault="00AF1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9E7"/>
    <w:multiLevelType w:val="multilevel"/>
    <w:tmpl w:val="E524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A6519"/>
    <w:multiLevelType w:val="hybridMultilevel"/>
    <w:tmpl w:val="74C65C4C"/>
    <w:lvl w:ilvl="0" w:tplc="6D34B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77219"/>
    <w:multiLevelType w:val="hybridMultilevel"/>
    <w:tmpl w:val="DB3AE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9283C"/>
    <w:multiLevelType w:val="multilevel"/>
    <w:tmpl w:val="900E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10958"/>
    <w:multiLevelType w:val="hybridMultilevel"/>
    <w:tmpl w:val="EAA2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415C4"/>
    <w:multiLevelType w:val="hybridMultilevel"/>
    <w:tmpl w:val="172A0B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8C796E"/>
    <w:multiLevelType w:val="hybridMultilevel"/>
    <w:tmpl w:val="94F29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F0BF6"/>
    <w:multiLevelType w:val="hybridMultilevel"/>
    <w:tmpl w:val="2C72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85413"/>
    <w:multiLevelType w:val="hybridMultilevel"/>
    <w:tmpl w:val="BB147322"/>
    <w:lvl w:ilvl="0" w:tplc="06900896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0F20"/>
    <w:multiLevelType w:val="hybridMultilevel"/>
    <w:tmpl w:val="0DAE49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F40A5"/>
    <w:multiLevelType w:val="hybridMultilevel"/>
    <w:tmpl w:val="8C949E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FD6163"/>
    <w:multiLevelType w:val="hybridMultilevel"/>
    <w:tmpl w:val="15C69558"/>
    <w:lvl w:ilvl="0" w:tplc="CA84BE0A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F55B4"/>
    <w:multiLevelType w:val="hybridMultilevel"/>
    <w:tmpl w:val="9DEA7F86"/>
    <w:lvl w:ilvl="0" w:tplc="D832AB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73675"/>
    <w:multiLevelType w:val="multilevel"/>
    <w:tmpl w:val="05E47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69F6828"/>
    <w:multiLevelType w:val="hybridMultilevel"/>
    <w:tmpl w:val="0E6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C5E7F"/>
    <w:multiLevelType w:val="hybridMultilevel"/>
    <w:tmpl w:val="F398B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A2734"/>
    <w:multiLevelType w:val="hybridMultilevel"/>
    <w:tmpl w:val="5A8AE5CA"/>
    <w:lvl w:ilvl="0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7" w15:restartNumberingAfterBreak="0">
    <w:nsid w:val="689913BA"/>
    <w:multiLevelType w:val="hybridMultilevel"/>
    <w:tmpl w:val="E36AF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7534F"/>
    <w:multiLevelType w:val="hybridMultilevel"/>
    <w:tmpl w:val="9042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00545"/>
    <w:multiLevelType w:val="hybridMultilevel"/>
    <w:tmpl w:val="5CD6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D346B"/>
    <w:multiLevelType w:val="multilevel"/>
    <w:tmpl w:val="6F5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283610">
    <w:abstractNumId w:val="14"/>
  </w:num>
  <w:num w:numId="2" w16cid:durableId="1797331095">
    <w:abstractNumId w:val="9"/>
  </w:num>
  <w:num w:numId="3" w16cid:durableId="214856249">
    <w:abstractNumId w:val="12"/>
  </w:num>
  <w:num w:numId="4" w16cid:durableId="1499616861">
    <w:abstractNumId w:val="16"/>
  </w:num>
  <w:num w:numId="5" w16cid:durableId="2073769093">
    <w:abstractNumId w:val="0"/>
  </w:num>
  <w:num w:numId="6" w16cid:durableId="18362904">
    <w:abstractNumId w:val="19"/>
  </w:num>
  <w:num w:numId="7" w16cid:durableId="495341996">
    <w:abstractNumId w:val="20"/>
  </w:num>
  <w:num w:numId="8" w16cid:durableId="195433800">
    <w:abstractNumId w:val="2"/>
  </w:num>
  <w:num w:numId="9" w16cid:durableId="2131320421">
    <w:abstractNumId w:val="13"/>
  </w:num>
  <w:num w:numId="10" w16cid:durableId="292836173">
    <w:abstractNumId w:val="10"/>
  </w:num>
  <w:num w:numId="11" w16cid:durableId="590047722">
    <w:abstractNumId w:val="5"/>
  </w:num>
  <w:num w:numId="12" w16cid:durableId="1674527007">
    <w:abstractNumId w:val="8"/>
  </w:num>
  <w:num w:numId="13" w16cid:durableId="1073697651">
    <w:abstractNumId w:val="6"/>
  </w:num>
  <w:num w:numId="14" w16cid:durableId="1167403472">
    <w:abstractNumId w:val="15"/>
  </w:num>
  <w:num w:numId="15" w16cid:durableId="1282767395">
    <w:abstractNumId w:val="17"/>
  </w:num>
  <w:num w:numId="16" w16cid:durableId="974333673">
    <w:abstractNumId w:val="11"/>
  </w:num>
  <w:num w:numId="17" w16cid:durableId="364520162">
    <w:abstractNumId w:val="3"/>
  </w:num>
  <w:num w:numId="18" w16cid:durableId="1117332499">
    <w:abstractNumId w:val="7"/>
  </w:num>
  <w:num w:numId="19" w16cid:durableId="2132741991">
    <w:abstractNumId w:val="1"/>
  </w:num>
  <w:num w:numId="20" w16cid:durableId="618879791">
    <w:abstractNumId w:val="18"/>
  </w:num>
  <w:num w:numId="21" w16cid:durableId="349600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A"/>
    <w:rsid w:val="000274AF"/>
    <w:rsid w:val="000B3E7D"/>
    <w:rsid w:val="00113D64"/>
    <w:rsid w:val="00146993"/>
    <w:rsid w:val="00150443"/>
    <w:rsid w:val="00163839"/>
    <w:rsid w:val="001D2782"/>
    <w:rsid w:val="001F79CB"/>
    <w:rsid w:val="001F7B3B"/>
    <w:rsid w:val="00222CB4"/>
    <w:rsid w:val="00237980"/>
    <w:rsid w:val="00241FDA"/>
    <w:rsid w:val="0028428E"/>
    <w:rsid w:val="00287C94"/>
    <w:rsid w:val="002D7C3C"/>
    <w:rsid w:val="002E040A"/>
    <w:rsid w:val="002E7252"/>
    <w:rsid w:val="002F63D4"/>
    <w:rsid w:val="003222C8"/>
    <w:rsid w:val="00343F73"/>
    <w:rsid w:val="003901BE"/>
    <w:rsid w:val="003B765E"/>
    <w:rsid w:val="003C1F8E"/>
    <w:rsid w:val="00401A72"/>
    <w:rsid w:val="0044731C"/>
    <w:rsid w:val="004D30F0"/>
    <w:rsid w:val="004F5B1A"/>
    <w:rsid w:val="005413CA"/>
    <w:rsid w:val="00565CB6"/>
    <w:rsid w:val="005B0C97"/>
    <w:rsid w:val="005C7FFC"/>
    <w:rsid w:val="005D6BC6"/>
    <w:rsid w:val="005E07CD"/>
    <w:rsid w:val="00605891"/>
    <w:rsid w:val="006579A0"/>
    <w:rsid w:val="00661EAF"/>
    <w:rsid w:val="00667838"/>
    <w:rsid w:val="0069006A"/>
    <w:rsid w:val="00690495"/>
    <w:rsid w:val="00696BE2"/>
    <w:rsid w:val="006B5D91"/>
    <w:rsid w:val="006F2536"/>
    <w:rsid w:val="0074453E"/>
    <w:rsid w:val="007808B0"/>
    <w:rsid w:val="007979EC"/>
    <w:rsid w:val="007A040D"/>
    <w:rsid w:val="007A5F11"/>
    <w:rsid w:val="007D561F"/>
    <w:rsid w:val="007E404D"/>
    <w:rsid w:val="007E4567"/>
    <w:rsid w:val="0080562D"/>
    <w:rsid w:val="00857F8D"/>
    <w:rsid w:val="00885E21"/>
    <w:rsid w:val="00887099"/>
    <w:rsid w:val="008877C2"/>
    <w:rsid w:val="008C610E"/>
    <w:rsid w:val="00954AF8"/>
    <w:rsid w:val="00964FC8"/>
    <w:rsid w:val="00986E5D"/>
    <w:rsid w:val="00A16F35"/>
    <w:rsid w:val="00A24223"/>
    <w:rsid w:val="00A43DD3"/>
    <w:rsid w:val="00A7017F"/>
    <w:rsid w:val="00A771B2"/>
    <w:rsid w:val="00A85226"/>
    <w:rsid w:val="00AA1C20"/>
    <w:rsid w:val="00AB049B"/>
    <w:rsid w:val="00AD5757"/>
    <w:rsid w:val="00AF1D04"/>
    <w:rsid w:val="00BB1FFD"/>
    <w:rsid w:val="00BD6DF2"/>
    <w:rsid w:val="00C03345"/>
    <w:rsid w:val="00C30B6E"/>
    <w:rsid w:val="00C608E4"/>
    <w:rsid w:val="00CA04A0"/>
    <w:rsid w:val="00CA1E33"/>
    <w:rsid w:val="00CA2A1A"/>
    <w:rsid w:val="00CC4229"/>
    <w:rsid w:val="00CE63EA"/>
    <w:rsid w:val="00CF49F1"/>
    <w:rsid w:val="00D3050B"/>
    <w:rsid w:val="00D5294C"/>
    <w:rsid w:val="00D60A33"/>
    <w:rsid w:val="00DF4E3A"/>
    <w:rsid w:val="00EC4AA6"/>
    <w:rsid w:val="00F04D76"/>
    <w:rsid w:val="00F2265D"/>
    <w:rsid w:val="00F36B5F"/>
    <w:rsid w:val="00F5483A"/>
    <w:rsid w:val="00F610EE"/>
    <w:rsid w:val="00F77805"/>
    <w:rsid w:val="00FA7110"/>
    <w:rsid w:val="00FC0731"/>
    <w:rsid w:val="00FC5F7D"/>
    <w:rsid w:val="00FE4282"/>
    <w:rsid w:val="00FF33FE"/>
    <w:rsid w:val="2CF68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61847"/>
  <w15:chartTrackingRefBased/>
  <w15:docId w15:val="{A05E083D-7CD0-485B-BFD3-4CE55C7C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91"/>
  </w:style>
  <w:style w:type="paragraph" w:styleId="Heading1">
    <w:name w:val="heading 1"/>
    <w:basedOn w:val="Normal"/>
    <w:next w:val="Normal"/>
    <w:link w:val="Heading1Char"/>
    <w:uiPriority w:val="9"/>
    <w:qFormat/>
    <w:rsid w:val="00690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B1FF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BLUE">
    <w:name w:val="Masthead BLUE"/>
    <w:basedOn w:val="Normal"/>
    <w:qFormat/>
    <w:rsid w:val="00CA2A1A"/>
    <w:pPr>
      <w:widowControl w:val="0"/>
      <w:autoSpaceDE w:val="0"/>
      <w:autoSpaceDN w:val="0"/>
      <w:spacing w:before="241" w:after="0" w:line="269" w:lineRule="auto"/>
      <w:ind w:left="20"/>
    </w:pPr>
    <w:rPr>
      <w:rFonts w:asciiTheme="majorHAnsi" w:eastAsia="Franklin Gothic Book" w:hAnsiTheme="majorHAnsi" w:cs="Franklin Gothic Book"/>
      <w:color w:val="ED7D31" w:themeColor="accent2"/>
      <w:sz w:val="120"/>
      <w:lang w:bidi="en-US"/>
    </w:rPr>
  </w:style>
  <w:style w:type="table" w:styleId="TableGrid">
    <w:name w:val="Table Grid"/>
    <w:basedOn w:val="TableNormal"/>
    <w:uiPriority w:val="39"/>
    <w:rsid w:val="00C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A1A"/>
    <w:pPr>
      <w:widowControl w:val="0"/>
      <w:autoSpaceDE w:val="0"/>
      <w:autoSpaceDN w:val="0"/>
      <w:spacing w:before="240" w:after="0" w:line="269" w:lineRule="auto"/>
    </w:pPr>
    <w:rPr>
      <w:rFonts w:eastAsia="Franklin Gothic Book" w:cs="Franklin Gothic Book"/>
      <w:color w:val="171717" w:themeColor="background2" w:themeShade="1A"/>
      <w:lang w:bidi="en-US"/>
    </w:rPr>
  </w:style>
  <w:style w:type="character" w:customStyle="1" w:styleId="Heading3Char">
    <w:name w:val="Heading 3 Char"/>
    <w:basedOn w:val="DefaultParagraphFont"/>
    <w:link w:val="Heading3"/>
    <w:rsid w:val="00BB1FF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rsid w:val="00BB1FFD"/>
    <w:rPr>
      <w:color w:val="6666CC"/>
      <w:u w:val="single"/>
    </w:rPr>
  </w:style>
  <w:style w:type="character" w:styleId="Strong">
    <w:name w:val="Strong"/>
    <w:uiPriority w:val="22"/>
    <w:qFormat/>
    <w:rsid w:val="00BB1F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FD"/>
  </w:style>
  <w:style w:type="paragraph" w:styleId="Footer">
    <w:name w:val="footer"/>
    <w:basedOn w:val="Normal"/>
    <w:link w:val="FooterChar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FD"/>
  </w:style>
  <w:style w:type="character" w:customStyle="1" w:styleId="Heading1Char">
    <w:name w:val="Heading 1 Char"/>
    <w:basedOn w:val="DefaultParagraphFont"/>
    <w:link w:val="Heading1"/>
    <w:uiPriority w:val="9"/>
    <w:rsid w:val="0069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9049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D6D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6DF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6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C610E"/>
    <w:rPr>
      <w:i/>
      <w:iCs/>
    </w:rPr>
  </w:style>
  <w:style w:type="character" w:customStyle="1" w:styleId="id812">
    <w:name w:val="id812"/>
    <w:basedOn w:val="DefaultParagraphFont"/>
    <w:rsid w:val="008C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BDFE7-34D8-487F-9737-5E30C305A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BDBFF-10E0-45DB-A88A-FCE54119ECE2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3.xml><?xml version="1.0" encoding="utf-8"?>
<ds:datastoreItem xmlns:ds="http://schemas.openxmlformats.org/officeDocument/2006/customXml" ds:itemID="{15A61773-619F-4330-AB9A-FE94C29C0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435</Words>
  <Characters>2483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Ness, Cate</dc:creator>
  <cp:keywords/>
  <dc:description/>
  <cp:lastModifiedBy>Heaser, Melinda</cp:lastModifiedBy>
  <cp:revision>3</cp:revision>
  <cp:lastPrinted>2023-04-13T19:37:00Z</cp:lastPrinted>
  <dcterms:created xsi:type="dcterms:W3CDTF">2025-07-18T13:42:00Z</dcterms:created>
  <dcterms:modified xsi:type="dcterms:W3CDTF">2025-07-18T14:22:00Z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0x010100492A67E8656AB841933B184C9B9D7B35</vt:lpwstr>
  </property>
  <property fmtid="{D5CDD505-2E9C-101B-9397-08002B2CF9AE}" pid="3" name="MediaServiceImageTags">
    <vt:lpwstr/>
  </property>
  <property fmtid="{D5CDD505-2E9C-101B-9397-08002B2CF9AE}" pid="4" name="MSIP_Label_aecce149-e41b-4002-a9ef-5f7c4ebd7945_Enabled">
    <vt:lpwstr>true</vt:lpwstr>
  </property>
  <property fmtid="{D5CDD505-2E9C-101B-9397-08002B2CF9AE}" pid="5" name="MSIP_Label_aecce149-e41b-4002-a9ef-5f7c4ebd7945_SetDate">
    <vt:lpwstr>2025-01-03T14:24:03Z</vt:lpwstr>
  </property>
  <property fmtid="{D5CDD505-2E9C-101B-9397-08002B2CF9AE}" pid="6" name="MSIP_Label_aecce149-e41b-4002-a9ef-5f7c4ebd7945_Method">
    <vt:lpwstr>Privileged</vt:lpwstr>
  </property>
  <property fmtid="{D5CDD505-2E9C-101B-9397-08002B2CF9AE}" pid="7" name="MSIP_Label_aecce149-e41b-4002-a9ef-5f7c4ebd7945_Name">
    <vt:lpwstr>Public</vt:lpwstr>
  </property>
  <property fmtid="{D5CDD505-2E9C-101B-9397-08002B2CF9AE}" pid="8" name="MSIP_Label_aecce149-e41b-4002-a9ef-5f7c4ebd7945_SiteId">
    <vt:lpwstr>f2cae92a-8892-4e20-96c4-6ad7ba8f0e72</vt:lpwstr>
  </property>
  <property fmtid="{D5CDD505-2E9C-101B-9397-08002B2CF9AE}" pid="9" name="MSIP_Label_aecce149-e41b-4002-a9ef-5f7c4ebd7945_ActionId">
    <vt:lpwstr>592b1ffe-63f3-477b-b410-9f3990e9c52f</vt:lpwstr>
  </property>
  <property fmtid="{D5CDD505-2E9C-101B-9397-08002B2CF9AE}" pid="10" name="MSIP_Label_aecce149-e41b-4002-a9ef-5f7c4ebd7945_ContentBits">
    <vt:lpwstr>0</vt:lpwstr>
  </property>
</Properties>
</file>