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right" w:tblpY="2266"/>
        <w:tblW w:w="0" w:type="auto"/>
        <w:tblBorders>
          <w:top w:val="thinThickThinSmallGap" w:sz="24" w:space="0" w:color="002060"/>
          <w:left w:val="thinThickThinSmallGap" w:sz="24" w:space="0" w:color="002060"/>
          <w:bottom w:val="thinThickThinSmallGap" w:sz="24" w:space="0" w:color="002060"/>
          <w:right w:val="thinThickThinSmallGap" w:sz="24" w:space="0" w:color="002060"/>
          <w:insideH w:val="thinThickThinSmallGap" w:sz="24" w:space="0" w:color="002060"/>
          <w:insideV w:val="thinThickThinSmallGap" w:sz="24" w:space="0" w:color="002060"/>
        </w:tblBorders>
        <w:tblLook w:val="04A0" w:firstRow="1" w:lastRow="0" w:firstColumn="1" w:lastColumn="0" w:noHBand="0" w:noVBand="1"/>
      </w:tblPr>
      <w:tblGrid>
        <w:gridCol w:w="11718"/>
      </w:tblGrid>
      <w:tr w:rsidR="003901BE" w14:paraId="2A8DAC09" w14:textId="77777777" w:rsidTr="003901BE">
        <w:trPr>
          <w:trHeight w:val="9330"/>
        </w:trPr>
        <w:tc>
          <w:tcPr>
            <w:tcW w:w="11520" w:type="dxa"/>
          </w:tcPr>
          <w:p w14:paraId="17057C9C" w14:textId="77777777" w:rsidR="0046659E" w:rsidRDefault="0046659E" w:rsidP="003901BE">
            <w:pPr>
              <w:rPr>
                <w:rFonts w:ascii="Arial" w:hAnsi="Arial" w:cs="Arial"/>
                <w:sz w:val="20"/>
                <w:szCs w:val="20"/>
              </w:rPr>
            </w:pPr>
          </w:p>
          <w:p w14:paraId="5D6A69FE" w14:textId="77777777" w:rsidR="00C178DB" w:rsidRPr="00C9480C" w:rsidRDefault="006A4AAE" w:rsidP="003901BE">
            <w:pPr>
              <w:rPr>
                <w:rFonts w:ascii="Arial" w:hAnsi="Arial" w:cs="Arial"/>
                <w:b/>
                <w:bCs/>
                <w:sz w:val="28"/>
                <w:szCs w:val="28"/>
              </w:rPr>
            </w:pPr>
            <w:r w:rsidRPr="00C9480C">
              <w:rPr>
                <w:rFonts w:ascii="Arial" w:hAnsi="Arial" w:cs="Arial"/>
                <w:b/>
                <w:bCs/>
                <w:sz w:val="28"/>
                <w:szCs w:val="28"/>
              </w:rPr>
              <w:t xml:space="preserve">The following </w:t>
            </w:r>
            <w:r w:rsidR="00C178DB" w:rsidRPr="00C9480C">
              <w:rPr>
                <w:rFonts w:ascii="Arial" w:hAnsi="Arial" w:cs="Arial"/>
                <w:b/>
                <w:bCs/>
                <w:sz w:val="28"/>
                <w:szCs w:val="28"/>
              </w:rPr>
              <w:t>enhancements were made to Bridgeview effective 2/27/2025:</w:t>
            </w:r>
          </w:p>
          <w:p w14:paraId="4B633170" w14:textId="77777777" w:rsidR="00C178DB" w:rsidRDefault="00C178DB" w:rsidP="003901BE">
            <w:pPr>
              <w:rPr>
                <w:rFonts w:ascii="Arial" w:hAnsi="Arial" w:cs="Arial"/>
                <w:sz w:val="20"/>
                <w:szCs w:val="20"/>
              </w:rPr>
            </w:pPr>
          </w:p>
          <w:p w14:paraId="0CE162BD" w14:textId="567115EE" w:rsidR="00635134" w:rsidRPr="000E1416" w:rsidRDefault="0046659E" w:rsidP="003901BE">
            <w:pPr>
              <w:rPr>
                <w:rFonts w:ascii="Arial" w:hAnsi="Arial" w:cs="Arial"/>
                <w:b/>
                <w:bCs/>
                <w:color w:val="4472C4" w:themeColor="accent1"/>
                <w:sz w:val="24"/>
                <w:szCs w:val="24"/>
              </w:rPr>
            </w:pPr>
            <w:r w:rsidRPr="000E1416">
              <w:rPr>
                <w:rFonts w:ascii="Arial" w:hAnsi="Arial" w:cs="Arial"/>
                <w:b/>
                <w:bCs/>
                <w:color w:val="4472C4" w:themeColor="accent1"/>
                <w:sz w:val="24"/>
                <w:szCs w:val="24"/>
              </w:rPr>
              <w:t>B</w:t>
            </w:r>
            <w:r w:rsidR="00635134" w:rsidRPr="000E1416">
              <w:rPr>
                <w:rFonts w:ascii="Arial" w:hAnsi="Arial" w:cs="Arial"/>
                <w:b/>
                <w:bCs/>
                <w:color w:val="4472C4" w:themeColor="accent1"/>
                <w:sz w:val="24"/>
                <w:szCs w:val="24"/>
              </w:rPr>
              <w:t>LUE PLUS CUTOFF DATES</w:t>
            </w:r>
          </w:p>
          <w:p w14:paraId="640CA617" w14:textId="77777777" w:rsidR="000E1416" w:rsidRDefault="000E1416" w:rsidP="003901BE">
            <w:pPr>
              <w:rPr>
                <w:rFonts w:ascii="Arial" w:hAnsi="Arial" w:cs="Arial"/>
                <w:sz w:val="20"/>
                <w:szCs w:val="20"/>
              </w:rPr>
            </w:pPr>
          </w:p>
          <w:p w14:paraId="637F4B41" w14:textId="0ABFD681" w:rsidR="00AF0A0E" w:rsidRPr="00835F0C" w:rsidRDefault="000E1C0E" w:rsidP="003E4518">
            <w:pPr>
              <w:rPr>
                <w:rFonts w:cstheme="minorHAnsi"/>
                <w:sz w:val="24"/>
                <w:szCs w:val="24"/>
              </w:rPr>
            </w:pPr>
            <w:r w:rsidRPr="00835F0C">
              <w:rPr>
                <w:rFonts w:cstheme="minorHAnsi"/>
                <w:sz w:val="24"/>
                <w:szCs w:val="24"/>
              </w:rPr>
              <w:t xml:space="preserve">The list of </w:t>
            </w:r>
            <w:r w:rsidR="009C596C" w:rsidRPr="00835F0C">
              <w:rPr>
                <w:rFonts w:cstheme="minorHAnsi"/>
                <w:sz w:val="24"/>
                <w:szCs w:val="24"/>
              </w:rPr>
              <w:t xml:space="preserve">Blue Plus Cut-off dates </w:t>
            </w:r>
            <w:r w:rsidRPr="00835F0C">
              <w:rPr>
                <w:rFonts w:cstheme="minorHAnsi"/>
                <w:sz w:val="24"/>
                <w:szCs w:val="24"/>
              </w:rPr>
              <w:t>was</w:t>
            </w:r>
            <w:r w:rsidR="009C596C" w:rsidRPr="00835F0C">
              <w:rPr>
                <w:rFonts w:cstheme="minorHAnsi"/>
                <w:sz w:val="24"/>
                <w:szCs w:val="24"/>
              </w:rPr>
              <w:t xml:space="preserve"> added to this screen as an additional reminder </w:t>
            </w:r>
            <w:r w:rsidR="00224BA1" w:rsidRPr="00835F0C">
              <w:rPr>
                <w:rFonts w:cstheme="minorHAnsi"/>
                <w:sz w:val="24"/>
                <w:szCs w:val="24"/>
              </w:rPr>
              <w:t xml:space="preserve">that </w:t>
            </w:r>
            <w:r w:rsidR="000E1416" w:rsidRPr="00835F0C">
              <w:rPr>
                <w:rFonts w:cstheme="minorHAnsi"/>
                <w:sz w:val="24"/>
                <w:szCs w:val="24"/>
              </w:rPr>
              <w:t>Elderly Waiver re-assessments must be completed by and entered into MMIS prior to the cut-off dates</w:t>
            </w:r>
            <w:r w:rsidR="001D7CF7" w:rsidRPr="00835F0C">
              <w:rPr>
                <w:rFonts w:cstheme="minorHAnsi"/>
                <w:sz w:val="24"/>
                <w:szCs w:val="24"/>
              </w:rPr>
              <w:t xml:space="preserve"> listed</w:t>
            </w:r>
            <w:r w:rsidRPr="00835F0C">
              <w:rPr>
                <w:rFonts w:cstheme="minorHAnsi"/>
                <w:sz w:val="24"/>
                <w:szCs w:val="24"/>
              </w:rPr>
              <w:t>.</w:t>
            </w:r>
          </w:p>
          <w:p w14:paraId="5C8F207B" w14:textId="77777777" w:rsidR="00AF0A0E" w:rsidRDefault="00AF0A0E" w:rsidP="00382170">
            <w:pPr>
              <w:ind w:left="1440"/>
              <w:rPr>
                <w:rFonts w:ascii="Arial" w:hAnsi="Arial" w:cs="Arial"/>
                <w:sz w:val="20"/>
                <w:szCs w:val="20"/>
              </w:rPr>
            </w:pPr>
          </w:p>
          <w:p w14:paraId="09728A79" w14:textId="26E6761F" w:rsidR="00382170" w:rsidRDefault="00297CF7" w:rsidP="00297CF7">
            <w:pPr>
              <w:ind w:left="720"/>
              <w:rPr>
                <w:rFonts w:ascii="Arial" w:hAnsi="Arial" w:cs="Arial"/>
                <w:sz w:val="20"/>
                <w:szCs w:val="20"/>
              </w:rPr>
            </w:pPr>
            <w:r>
              <w:rPr>
                <w:noProof/>
              </w:rPr>
              <w:drawing>
                <wp:inline distT="0" distB="0" distL="0" distR="0" wp14:anchorId="0B4163E6" wp14:editId="7AA5FFB3">
                  <wp:extent cx="5645889" cy="4151176"/>
                  <wp:effectExtent l="0" t="0" r="0" b="1905"/>
                  <wp:docPr id="2104645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650228" cy="4154366"/>
                          </a:xfrm>
                          <a:prstGeom prst="rect">
                            <a:avLst/>
                          </a:prstGeom>
                          <a:noFill/>
                          <a:ln>
                            <a:noFill/>
                          </a:ln>
                        </pic:spPr>
                      </pic:pic>
                    </a:graphicData>
                  </a:graphic>
                </wp:inline>
              </w:drawing>
            </w:r>
          </w:p>
          <w:p w14:paraId="342D5ACD" w14:textId="77777777" w:rsidR="00E210F1" w:rsidRDefault="00E210F1" w:rsidP="00382170">
            <w:pPr>
              <w:ind w:left="1440"/>
              <w:rPr>
                <w:rFonts w:ascii="Arial" w:hAnsi="Arial" w:cs="Arial"/>
                <w:sz w:val="20"/>
                <w:szCs w:val="20"/>
              </w:rPr>
            </w:pPr>
          </w:p>
          <w:p w14:paraId="54980709" w14:textId="77777777" w:rsidR="00AF0A0E" w:rsidRDefault="00AF0A0E" w:rsidP="00382170">
            <w:pPr>
              <w:ind w:left="1440"/>
              <w:rPr>
                <w:rFonts w:ascii="Arial" w:hAnsi="Arial" w:cs="Arial"/>
                <w:sz w:val="20"/>
                <w:szCs w:val="20"/>
              </w:rPr>
            </w:pPr>
          </w:p>
          <w:p w14:paraId="0A81246B" w14:textId="3B6BAB69" w:rsidR="00E210F1" w:rsidRPr="009A38E2" w:rsidRDefault="008118E4" w:rsidP="00E210F1">
            <w:pPr>
              <w:rPr>
                <w:rFonts w:ascii="Arial" w:hAnsi="Arial" w:cs="Arial"/>
                <w:b/>
                <w:bCs/>
                <w:color w:val="4472C4" w:themeColor="accent1"/>
                <w:sz w:val="24"/>
                <w:szCs w:val="24"/>
              </w:rPr>
            </w:pPr>
            <w:r w:rsidRPr="009A38E2">
              <w:rPr>
                <w:rFonts w:ascii="Arial" w:hAnsi="Arial" w:cs="Arial"/>
                <w:b/>
                <w:bCs/>
                <w:color w:val="4472C4" w:themeColor="accent1"/>
                <w:sz w:val="24"/>
                <w:szCs w:val="24"/>
              </w:rPr>
              <w:t>T</w:t>
            </w:r>
            <w:r w:rsidR="00C9480C">
              <w:rPr>
                <w:rFonts w:ascii="Arial" w:hAnsi="Arial" w:cs="Arial"/>
                <w:b/>
                <w:bCs/>
                <w:color w:val="4472C4" w:themeColor="accent1"/>
                <w:sz w:val="24"/>
                <w:szCs w:val="24"/>
              </w:rPr>
              <w:t>RANSFER FNU ASSESSMENT ENTRY</w:t>
            </w:r>
          </w:p>
          <w:p w14:paraId="2B48A7AA" w14:textId="77777777" w:rsidR="00AD38CC" w:rsidRDefault="00AD38CC" w:rsidP="00E210F1">
            <w:pPr>
              <w:rPr>
                <w:rFonts w:ascii="Arial" w:hAnsi="Arial" w:cs="Arial"/>
                <w:sz w:val="20"/>
                <w:szCs w:val="20"/>
              </w:rPr>
            </w:pPr>
          </w:p>
          <w:p w14:paraId="33C377DC" w14:textId="313F079C" w:rsidR="00801E7A" w:rsidRPr="00FD5CC8" w:rsidRDefault="00FE58E5" w:rsidP="00D854A6">
            <w:pPr>
              <w:ind w:left="360"/>
              <w:rPr>
                <w:rFonts w:ascii="Arial" w:hAnsi="Arial" w:cs="Arial"/>
                <w:b/>
                <w:bCs/>
                <w:color w:val="4472C4" w:themeColor="accent1"/>
                <w:sz w:val="24"/>
                <w:szCs w:val="24"/>
              </w:rPr>
            </w:pPr>
            <w:r>
              <w:rPr>
                <w:rFonts w:ascii="Arial" w:hAnsi="Arial" w:cs="Arial"/>
                <w:b/>
                <w:bCs/>
                <w:color w:val="4472C4" w:themeColor="accent1"/>
                <w:sz w:val="24"/>
                <w:szCs w:val="24"/>
              </w:rPr>
              <w:t xml:space="preserve">HRA Forms Used </w:t>
            </w:r>
            <w:r w:rsidRPr="00030458">
              <w:rPr>
                <w:rFonts w:ascii="Arial" w:hAnsi="Arial" w:cs="Arial"/>
                <w:color w:val="4472C4" w:themeColor="accent1"/>
                <w:sz w:val="24"/>
                <w:szCs w:val="24"/>
              </w:rPr>
              <w:t>field</w:t>
            </w:r>
            <w:r w:rsidR="00030458" w:rsidRPr="00030458">
              <w:rPr>
                <w:rFonts w:ascii="Arial" w:hAnsi="Arial" w:cs="Arial"/>
                <w:color w:val="4472C4" w:themeColor="accent1"/>
                <w:sz w:val="24"/>
                <w:szCs w:val="24"/>
              </w:rPr>
              <w:t xml:space="preserve">:  </w:t>
            </w:r>
            <w:r w:rsidR="00AD38CC" w:rsidRPr="00030458">
              <w:rPr>
                <w:rFonts w:ascii="Arial" w:hAnsi="Arial" w:cs="Arial"/>
                <w:color w:val="4472C4" w:themeColor="accent1"/>
                <w:sz w:val="24"/>
                <w:szCs w:val="24"/>
              </w:rPr>
              <w:t>New drop-down option</w:t>
            </w:r>
            <w:r w:rsidR="00030458">
              <w:rPr>
                <w:rFonts w:ascii="Arial" w:hAnsi="Arial" w:cs="Arial"/>
                <w:color w:val="4472C4" w:themeColor="accent1"/>
                <w:sz w:val="24"/>
                <w:szCs w:val="24"/>
              </w:rPr>
              <w:t xml:space="preserve"> added:</w:t>
            </w:r>
            <w:r w:rsidR="00AD38CC" w:rsidRPr="00030458">
              <w:rPr>
                <w:rFonts w:ascii="Arial" w:hAnsi="Arial" w:cs="Arial"/>
                <w:color w:val="4472C4" w:themeColor="accent1"/>
                <w:sz w:val="24"/>
                <w:szCs w:val="24"/>
              </w:rPr>
              <w:t xml:space="preserve"> </w:t>
            </w:r>
            <w:r w:rsidR="00030458" w:rsidRPr="00030458">
              <w:rPr>
                <w:rFonts w:ascii="Arial" w:hAnsi="Arial" w:cs="Arial"/>
                <w:color w:val="4472C4" w:themeColor="accent1"/>
                <w:sz w:val="24"/>
                <w:szCs w:val="24"/>
              </w:rPr>
              <w:t>TRANSFER FNU</w:t>
            </w:r>
            <w:r w:rsidR="00401797" w:rsidRPr="00FD5CC8">
              <w:rPr>
                <w:rFonts w:ascii="Arial" w:hAnsi="Arial" w:cs="Arial"/>
                <w:b/>
                <w:bCs/>
                <w:color w:val="4472C4" w:themeColor="accent1"/>
                <w:sz w:val="24"/>
                <w:szCs w:val="24"/>
              </w:rPr>
              <w:t xml:space="preserve">.  </w:t>
            </w:r>
          </w:p>
          <w:p w14:paraId="01B002F8" w14:textId="77777777" w:rsidR="00801E7A" w:rsidRDefault="00801E7A" w:rsidP="00E210F1">
            <w:pPr>
              <w:rPr>
                <w:rFonts w:ascii="Arial" w:hAnsi="Arial" w:cs="Arial"/>
                <w:sz w:val="20"/>
                <w:szCs w:val="20"/>
              </w:rPr>
            </w:pPr>
          </w:p>
          <w:p w14:paraId="369A1933" w14:textId="0FF949E3" w:rsidR="00801E7A" w:rsidRPr="00835F0C" w:rsidRDefault="00801E7A" w:rsidP="00A02099">
            <w:pPr>
              <w:ind w:left="360"/>
              <w:rPr>
                <w:sz w:val="24"/>
                <w:szCs w:val="24"/>
              </w:rPr>
            </w:pPr>
            <w:r w:rsidRPr="00835F0C">
              <w:rPr>
                <w:sz w:val="24"/>
                <w:szCs w:val="24"/>
              </w:rPr>
              <w:t xml:space="preserve">Select this HRA Form </w:t>
            </w:r>
            <w:r w:rsidR="00CD5DB1" w:rsidRPr="00835F0C">
              <w:rPr>
                <w:sz w:val="24"/>
                <w:szCs w:val="24"/>
              </w:rPr>
              <w:t>TRANSFER</w:t>
            </w:r>
            <w:r w:rsidRPr="00835F0C">
              <w:rPr>
                <w:sz w:val="24"/>
                <w:szCs w:val="24"/>
              </w:rPr>
              <w:t xml:space="preserve"> FNU for DHS Smart Guide Transfer Guide Scenario #1, 2 and 4:</w:t>
            </w:r>
          </w:p>
          <w:p w14:paraId="50C587AD" w14:textId="177577D4" w:rsidR="00801E7A" w:rsidRPr="00835F0C" w:rsidRDefault="00801E7A" w:rsidP="00A02099">
            <w:pPr>
              <w:pStyle w:val="ListParagraph"/>
              <w:widowControl/>
              <w:numPr>
                <w:ilvl w:val="0"/>
                <w:numId w:val="20"/>
              </w:numPr>
              <w:autoSpaceDE/>
              <w:autoSpaceDN/>
              <w:spacing w:before="0" w:after="160" w:line="259" w:lineRule="auto"/>
              <w:ind w:left="1080"/>
              <w:contextualSpacing/>
              <w:rPr>
                <w:sz w:val="24"/>
                <w:szCs w:val="24"/>
              </w:rPr>
            </w:pPr>
            <w:r w:rsidRPr="00835F0C">
              <w:rPr>
                <w:sz w:val="24"/>
                <w:szCs w:val="24"/>
              </w:rPr>
              <w:t>Fee For Service EW to MCO EW, support Plan created by Fee</w:t>
            </w:r>
            <w:r w:rsidR="00D854A6" w:rsidRPr="00835F0C">
              <w:rPr>
                <w:sz w:val="24"/>
                <w:szCs w:val="24"/>
              </w:rPr>
              <w:t>-</w:t>
            </w:r>
            <w:r w:rsidRPr="00835F0C">
              <w:rPr>
                <w:sz w:val="24"/>
                <w:szCs w:val="24"/>
              </w:rPr>
              <w:t>For</w:t>
            </w:r>
            <w:r w:rsidR="00D854A6" w:rsidRPr="00835F0C">
              <w:rPr>
                <w:sz w:val="24"/>
                <w:szCs w:val="24"/>
              </w:rPr>
              <w:t>-</w:t>
            </w:r>
            <w:r w:rsidRPr="00835F0C">
              <w:rPr>
                <w:sz w:val="24"/>
                <w:szCs w:val="24"/>
              </w:rPr>
              <w:t>Service to Blue Plus</w:t>
            </w:r>
          </w:p>
          <w:p w14:paraId="44F2E2FF" w14:textId="7A27F2BD" w:rsidR="00801E7A" w:rsidRPr="00835F0C" w:rsidRDefault="00801E7A" w:rsidP="00A02099">
            <w:pPr>
              <w:pStyle w:val="ListParagraph"/>
              <w:widowControl/>
              <w:numPr>
                <w:ilvl w:val="0"/>
                <w:numId w:val="20"/>
              </w:numPr>
              <w:autoSpaceDE/>
              <w:autoSpaceDN/>
              <w:spacing w:before="0" w:after="160" w:line="259" w:lineRule="auto"/>
              <w:ind w:left="1080"/>
              <w:contextualSpacing/>
              <w:rPr>
                <w:sz w:val="24"/>
                <w:szCs w:val="24"/>
              </w:rPr>
            </w:pPr>
            <w:r w:rsidRPr="00835F0C">
              <w:rPr>
                <w:sz w:val="24"/>
                <w:szCs w:val="24"/>
              </w:rPr>
              <w:t>Fee For Service EW to MCO EW, no support plan created by Fee</w:t>
            </w:r>
            <w:r w:rsidR="00D854A6" w:rsidRPr="00835F0C">
              <w:rPr>
                <w:sz w:val="24"/>
                <w:szCs w:val="24"/>
              </w:rPr>
              <w:t>-</w:t>
            </w:r>
            <w:r w:rsidRPr="00835F0C">
              <w:rPr>
                <w:sz w:val="24"/>
                <w:szCs w:val="24"/>
              </w:rPr>
              <w:t>For</w:t>
            </w:r>
            <w:r w:rsidR="00D854A6" w:rsidRPr="00835F0C">
              <w:rPr>
                <w:sz w:val="24"/>
                <w:szCs w:val="24"/>
              </w:rPr>
              <w:t>-</w:t>
            </w:r>
            <w:r w:rsidRPr="00835F0C">
              <w:rPr>
                <w:sz w:val="24"/>
                <w:szCs w:val="24"/>
              </w:rPr>
              <w:t>Service</w:t>
            </w:r>
          </w:p>
          <w:p w14:paraId="34FB20BC" w14:textId="700C9829" w:rsidR="00801E7A" w:rsidRPr="00835F0C" w:rsidRDefault="00801E7A" w:rsidP="00A02099">
            <w:pPr>
              <w:pStyle w:val="ListParagraph"/>
              <w:widowControl/>
              <w:numPr>
                <w:ilvl w:val="0"/>
                <w:numId w:val="20"/>
              </w:numPr>
              <w:autoSpaceDE/>
              <w:autoSpaceDN/>
              <w:spacing w:before="0" w:after="160" w:line="259" w:lineRule="auto"/>
              <w:ind w:left="1080"/>
              <w:contextualSpacing/>
              <w:rPr>
                <w:sz w:val="24"/>
                <w:szCs w:val="24"/>
              </w:rPr>
            </w:pPr>
            <w:r w:rsidRPr="00835F0C">
              <w:rPr>
                <w:sz w:val="24"/>
                <w:szCs w:val="24"/>
              </w:rPr>
              <w:t>Fee For Service state plan to MCO state plan, support plan created by Fee</w:t>
            </w:r>
            <w:r w:rsidR="00D854A6" w:rsidRPr="00835F0C">
              <w:rPr>
                <w:sz w:val="24"/>
                <w:szCs w:val="24"/>
              </w:rPr>
              <w:t>-</w:t>
            </w:r>
            <w:r w:rsidRPr="00835F0C">
              <w:rPr>
                <w:sz w:val="24"/>
                <w:szCs w:val="24"/>
              </w:rPr>
              <w:t>For</w:t>
            </w:r>
            <w:r w:rsidR="00B9544B" w:rsidRPr="00835F0C">
              <w:rPr>
                <w:sz w:val="24"/>
                <w:szCs w:val="24"/>
              </w:rPr>
              <w:t>-</w:t>
            </w:r>
            <w:r w:rsidRPr="00835F0C">
              <w:rPr>
                <w:sz w:val="24"/>
                <w:szCs w:val="24"/>
              </w:rPr>
              <w:t xml:space="preserve">Service </w:t>
            </w:r>
          </w:p>
          <w:p w14:paraId="2C18FC70" w14:textId="2EE9F4B7" w:rsidR="00AA1566" w:rsidRPr="00A32CD4" w:rsidRDefault="00677FE6" w:rsidP="00B9544B">
            <w:pPr>
              <w:ind w:left="375"/>
              <w:rPr>
                <w:rFonts w:ascii="Arial" w:hAnsi="Arial" w:cs="Arial"/>
                <w:color w:val="4472C4" w:themeColor="accent1"/>
                <w:sz w:val="24"/>
                <w:szCs w:val="24"/>
              </w:rPr>
            </w:pPr>
            <w:r w:rsidRPr="00A32CD4">
              <w:rPr>
                <w:rFonts w:ascii="Arial" w:hAnsi="Arial" w:cs="Arial"/>
                <w:b/>
                <w:bCs/>
                <w:color w:val="4472C4" w:themeColor="accent1"/>
                <w:sz w:val="24"/>
                <w:szCs w:val="24"/>
              </w:rPr>
              <w:t xml:space="preserve">Type of Assessment field:  </w:t>
            </w:r>
            <w:r w:rsidR="001421C6">
              <w:rPr>
                <w:rFonts w:ascii="Arial" w:hAnsi="Arial" w:cs="Arial"/>
                <w:color w:val="4472C4" w:themeColor="accent1"/>
                <w:sz w:val="24"/>
                <w:szCs w:val="24"/>
              </w:rPr>
              <w:t>Changed to</w:t>
            </w:r>
            <w:r w:rsidR="00AA1566" w:rsidRPr="00A32CD4">
              <w:rPr>
                <w:rFonts w:ascii="Arial" w:hAnsi="Arial" w:cs="Arial"/>
                <w:color w:val="4472C4" w:themeColor="accent1"/>
                <w:sz w:val="24"/>
                <w:szCs w:val="24"/>
              </w:rPr>
              <w:t>: PLAN CHG (Non-BP to BP)</w:t>
            </w:r>
          </w:p>
          <w:p w14:paraId="1FE06A8C" w14:textId="77777777" w:rsidR="00AA1566" w:rsidRDefault="00AA1566" w:rsidP="00AA1566">
            <w:pPr>
              <w:spacing w:after="160" w:line="259" w:lineRule="auto"/>
              <w:contextualSpacing/>
            </w:pPr>
          </w:p>
          <w:p w14:paraId="73E25C3D" w14:textId="1FE9E43D" w:rsidR="00127D68" w:rsidRDefault="00FD5CC8" w:rsidP="0089296F">
            <w:pPr>
              <w:ind w:left="720"/>
              <w:rPr>
                <w:rFonts w:ascii="Arial" w:hAnsi="Arial" w:cs="Arial"/>
                <w:sz w:val="20"/>
                <w:szCs w:val="20"/>
              </w:rPr>
            </w:pPr>
            <w:r>
              <w:rPr>
                <w:noProof/>
              </w:rPr>
              <w:drawing>
                <wp:inline distT="0" distB="0" distL="0" distR="0" wp14:anchorId="0598B8D7" wp14:editId="1E9DC9A6">
                  <wp:extent cx="5026602" cy="2457450"/>
                  <wp:effectExtent l="152400" t="152400" r="365125" b="361950"/>
                  <wp:docPr id="10241889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18893" name="Picture 1" descr="A screenshot of a computer&#10;&#10;AI-generated content may be incorrect."/>
                          <pic:cNvPicPr/>
                        </pic:nvPicPr>
                        <pic:blipFill>
                          <a:blip r:embed="rId12"/>
                          <a:stretch>
                            <a:fillRect/>
                          </a:stretch>
                        </pic:blipFill>
                        <pic:spPr>
                          <a:xfrm>
                            <a:off x="0" y="0"/>
                            <a:ext cx="5030956" cy="2459579"/>
                          </a:xfrm>
                          <a:prstGeom prst="rect">
                            <a:avLst/>
                          </a:prstGeom>
                          <a:ln>
                            <a:noFill/>
                          </a:ln>
                          <a:effectLst>
                            <a:outerShdw blurRad="292100" dist="139700" dir="2700000" algn="tl" rotWithShape="0">
                              <a:srgbClr val="333333">
                                <a:alpha val="65000"/>
                              </a:srgbClr>
                            </a:outerShdw>
                          </a:effectLst>
                        </pic:spPr>
                      </pic:pic>
                    </a:graphicData>
                  </a:graphic>
                </wp:inline>
              </w:drawing>
            </w:r>
            <w:r w:rsidR="00401797">
              <w:rPr>
                <w:rFonts w:ascii="Arial" w:hAnsi="Arial" w:cs="Arial"/>
                <w:sz w:val="20"/>
                <w:szCs w:val="20"/>
              </w:rPr>
              <w:t xml:space="preserve">  </w:t>
            </w:r>
          </w:p>
          <w:p w14:paraId="542F02D6" w14:textId="77777777" w:rsidR="00B9544B" w:rsidRDefault="00B9544B" w:rsidP="00FD5CC8">
            <w:pPr>
              <w:ind w:left="720"/>
              <w:rPr>
                <w:rFonts w:ascii="Arial" w:hAnsi="Arial" w:cs="Arial"/>
                <w:sz w:val="20"/>
                <w:szCs w:val="20"/>
              </w:rPr>
            </w:pPr>
          </w:p>
          <w:p w14:paraId="05F168E9" w14:textId="77777777" w:rsidR="003F502F" w:rsidRDefault="003F502F" w:rsidP="00127D68">
            <w:pPr>
              <w:pStyle w:val="BodyText"/>
              <w:rPr>
                <w:b/>
                <w:bCs/>
                <w:color w:val="2F5496" w:themeColor="accent1" w:themeShade="BF"/>
              </w:rPr>
            </w:pPr>
          </w:p>
          <w:p w14:paraId="098360AB" w14:textId="77777777" w:rsidR="003F502F" w:rsidRDefault="003F502F" w:rsidP="00127D68">
            <w:pPr>
              <w:pStyle w:val="BodyText"/>
              <w:rPr>
                <w:b/>
                <w:bCs/>
                <w:color w:val="2F5496" w:themeColor="accent1" w:themeShade="BF"/>
              </w:rPr>
            </w:pPr>
          </w:p>
          <w:p w14:paraId="40F4C8E6" w14:textId="77777777" w:rsidR="003F502F" w:rsidRDefault="003F502F" w:rsidP="00127D68">
            <w:pPr>
              <w:pStyle w:val="BodyText"/>
              <w:rPr>
                <w:b/>
                <w:bCs/>
                <w:color w:val="2F5496" w:themeColor="accent1" w:themeShade="BF"/>
              </w:rPr>
            </w:pPr>
          </w:p>
          <w:p w14:paraId="53A53B2A" w14:textId="77777777" w:rsidR="0095692A" w:rsidRDefault="0095692A" w:rsidP="00127D68">
            <w:pPr>
              <w:pStyle w:val="BodyText"/>
              <w:rPr>
                <w:b/>
                <w:bCs/>
                <w:color w:val="2F5496" w:themeColor="accent1" w:themeShade="BF"/>
              </w:rPr>
            </w:pPr>
          </w:p>
          <w:p w14:paraId="424E1574" w14:textId="08521D80" w:rsidR="00D71BC3" w:rsidRPr="00127D68" w:rsidRDefault="00D71BC3" w:rsidP="00127D68">
            <w:pPr>
              <w:pStyle w:val="BodyText"/>
              <w:rPr>
                <w:b/>
                <w:bCs/>
                <w:color w:val="2F5496" w:themeColor="accent1" w:themeShade="BF"/>
              </w:rPr>
            </w:pPr>
            <w:r w:rsidRPr="00704744">
              <w:rPr>
                <w:b/>
                <w:bCs/>
                <w:color w:val="2F5496" w:themeColor="accent1" w:themeShade="BF"/>
              </w:rPr>
              <w:lastRenderedPageBreak/>
              <w:t>NEW EDIT</w:t>
            </w:r>
            <w:r w:rsidR="00351EFA">
              <w:rPr>
                <w:b/>
                <w:bCs/>
                <w:color w:val="2F5496" w:themeColor="accent1" w:themeShade="BF"/>
              </w:rPr>
              <w:t>S</w:t>
            </w:r>
          </w:p>
          <w:p w14:paraId="46B80693" w14:textId="77777777" w:rsidR="00B9544B" w:rsidRDefault="00B9544B" w:rsidP="00FD5CC8">
            <w:pPr>
              <w:ind w:left="720"/>
              <w:rPr>
                <w:rFonts w:ascii="Arial" w:hAnsi="Arial" w:cs="Arial"/>
                <w:sz w:val="20"/>
                <w:szCs w:val="20"/>
              </w:rPr>
            </w:pPr>
          </w:p>
          <w:p w14:paraId="2A01A744" w14:textId="5FEB0761" w:rsidR="00933F2D" w:rsidRDefault="00127D68" w:rsidP="00127D68">
            <w:pPr>
              <w:ind w:left="720"/>
              <w:rPr>
                <w:rFonts w:ascii="Arial" w:hAnsi="Arial" w:cs="Arial"/>
                <w:sz w:val="20"/>
                <w:szCs w:val="20"/>
              </w:rPr>
            </w:pPr>
            <w:r w:rsidRPr="00127D68">
              <w:rPr>
                <w:rFonts w:ascii="Arial" w:hAnsi="Arial" w:cs="Arial"/>
                <w:noProof/>
                <w:sz w:val="20"/>
                <w:szCs w:val="20"/>
              </w:rPr>
              <w:drawing>
                <wp:inline distT="0" distB="0" distL="0" distR="0" wp14:anchorId="5686F8CA" wp14:editId="0FC992F1">
                  <wp:extent cx="5293411" cy="1104900"/>
                  <wp:effectExtent l="152400" t="152400" r="364490" b="361950"/>
                  <wp:docPr id="1931896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896528" name=""/>
                          <pic:cNvPicPr/>
                        </pic:nvPicPr>
                        <pic:blipFill>
                          <a:blip r:embed="rId13"/>
                          <a:stretch>
                            <a:fillRect/>
                          </a:stretch>
                        </pic:blipFill>
                        <pic:spPr>
                          <a:xfrm>
                            <a:off x="0" y="0"/>
                            <a:ext cx="5311876" cy="1108754"/>
                          </a:xfrm>
                          <a:prstGeom prst="rect">
                            <a:avLst/>
                          </a:prstGeom>
                          <a:ln>
                            <a:noFill/>
                          </a:ln>
                          <a:effectLst>
                            <a:outerShdw blurRad="292100" dist="139700" dir="2700000" algn="tl" rotWithShape="0">
                              <a:srgbClr val="333333">
                                <a:alpha val="65000"/>
                              </a:srgbClr>
                            </a:outerShdw>
                          </a:effectLst>
                        </pic:spPr>
                      </pic:pic>
                    </a:graphicData>
                  </a:graphic>
                </wp:inline>
              </w:drawing>
            </w:r>
          </w:p>
          <w:p w14:paraId="2A8565CC" w14:textId="2D268217" w:rsidR="00C0003F" w:rsidRDefault="00C0003F" w:rsidP="00C0003F">
            <w:pPr>
              <w:pStyle w:val="BodyText"/>
              <w:ind w:left="520"/>
              <w:rPr>
                <w:rFonts w:asciiTheme="minorHAnsi" w:hAnsiTheme="minorHAnsi" w:cstheme="minorHAnsi"/>
              </w:rPr>
            </w:pPr>
            <w:r w:rsidRPr="00835F0C">
              <w:rPr>
                <w:rFonts w:asciiTheme="minorHAnsi" w:hAnsiTheme="minorHAnsi" w:cstheme="minorHAnsi"/>
              </w:rPr>
              <w:t xml:space="preserve">When entering a Transfer FNU, </w:t>
            </w:r>
            <w:r w:rsidRPr="00835F0C">
              <w:rPr>
                <w:rFonts w:asciiTheme="minorHAnsi" w:hAnsiTheme="minorHAnsi" w:cstheme="minorHAnsi"/>
              </w:rPr>
              <w:t xml:space="preserve">Users will now receive </w:t>
            </w:r>
            <w:r w:rsidR="00EA5B24">
              <w:rPr>
                <w:rFonts w:asciiTheme="minorHAnsi" w:hAnsiTheme="minorHAnsi" w:cstheme="minorHAnsi"/>
              </w:rPr>
              <w:t>this</w:t>
            </w:r>
            <w:r w:rsidRPr="00835F0C">
              <w:rPr>
                <w:rFonts w:asciiTheme="minorHAnsi" w:hAnsiTheme="minorHAnsi" w:cstheme="minorHAnsi"/>
              </w:rPr>
              <w:t xml:space="preserve"> edit if the Fee for Service HRA entry is not entered first.  As a reminder, </w:t>
            </w:r>
            <w:r w:rsidRPr="00835F0C">
              <w:rPr>
                <w:rFonts w:asciiTheme="minorHAnsi" w:hAnsiTheme="minorHAnsi" w:cstheme="minorHAnsi"/>
              </w:rPr>
              <w:t xml:space="preserve">it is required to enter </w:t>
            </w:r>
            <w:r w:rsidRPr="00835F0C">
              <w:rPr>
                <w:rFonts w:asciiTheme="minorHAnsi" w:hAnsiTheme="minorHAnsi" w:cstheme="minorHAnsi"/>
                <w:b/>
                <w:bCs/>
              </w:rPr>
              <w:t>both</w:t>
            </w:r>
            <w:r w:rsidRPr="00835F0C">
              <w:rPr>
                <w:rFonts w:asciiTheme="minorHAnsi" w:hAnsiTheme="minorHAnsi" w:cstheme="minorHAnsi"/>
              </w:rPr>
              <w:t xml:space="preserve"> the date of the previous MnCHOICES assessment done prior to enrollment and the date of the Transfer FNU. </w:t>
            </w:r>
          </w:p>
          <w:p w14:paraId="79520AE3" w14:textId="77777777" w:rsidR="008B6E7F" w:rsidRDefault="008B6E7F" w:rsidP="00C0003F">
            <w:pPr>
              <w:pStyle w:val="BodyText"/>
              <w:ind w:left="520"/>
              <w:rPr>
                <w:rFonts w:asciiTheme="minorHAnsi" w:hAnsiTheme="minorHAnsi" w:cstheme="minorHAnsi"/>
              </w:rPr>
            </w:pPr>
          </w:p>
          <w:p w14:paraId="3FBB5324" w14:textId="31BFD7DB" w:rsidR="008B6E7F" w:rsidRPr="00EA5B24" w:rsidRDefault="0072009F" w:rsidP="00EA5B24">
            <w:pPr>
              <w:pStyle w:val="BodyText"/>
              <w:ind w:left="720"/>
              <w:rPr>
                <w:rFonts w:cstheme="minorHAnsi"/>
              </w:rPr>
            </w:pPr>
            <w:r w:rsidRPr="0072009F">
              <w:rPr>
                <w:rFonts w:cstheme="minorHAnsi"/>
              </w:rPr>
              <w:drawing>
                <wp:inline distT="0" distB="0" distL="0" distR="0" wp14:anchorId="6EF232EC" wp14:editId="62D920D8">
                  <wp:extent cx="5712592" cy="1095375"/>
                  <wp:effectExtent l="152400" t="152400" r="364490" b="352425"/>
                  <wp:docPr id="21045399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0008" cy="1110219"/>
                          </a:xfrm>
                          <a:prstGeom prst="rect">
                            <a:avLst/>
                          </a:prstGeom>
                          <a:ln>
                            <a:noFill/>
                          </a:ln>
                          <a:effectLst>
                            <a:outerShdw blurRad="292100" dist="139700" dir="2700000" algn="tl" rotWithShape="0">
                              <a:srgbClr val="333333">
                                <a:alpha val="65000"/>
                              </a:srgbClr>
                            </a:outerShdw>
                          </a:effectLst>
                        </pic:spPr>
                      </pic:pic>
                    </a:graphicData>
                  </a:graphic>
                </wp:inline>
              </w:drawing>
            </w:r>
          </w:p>
          <w:p w14:paraId="097F8753" w14:textId="67AB7B3B" w:rsidR="00911DFE" w:rsidRPr="00E85572" w:rsidRDefault="009C4C23" w:rsidP="00E85572">
            <w:pPr>
              <w:ind w:left="520"/>
              <w:rPr>
                <w:rFonts w:cstheme="minorHAnsi"/>
                <w:sz w:val="24"/>
                <w:szCs w:val="24"/>
              </w:rPr>
            </w:pPr>
            <w:r w:rsidRPr="00E85572">
              <w:rPr>
                <w:rFonts w:cstheme="minorHAnsi"/>
                <w:sz w:val="24"/>
                <w:szCs w:val="24"/>
              </w:rPr>
              <w:t>When entering a Transitional HRA</w:t>
            </w:r>
            <w:r w:rsidR="00E85572" w:rsidRPr="00E85572">
              <w:rPr>
                <w:rFonts w:cstheme="minorHAnsi"/>
                <w:sz w:val="24"/>
                <w:szCs w:val="24"/>
              </w:rPr>
              <w:t xml:space="preserve"> for new enrollees</w:t>
            </w:r>
            <w:r w:rsidR="004E4D30" w:rsidRPr="00E85572">
              <w:rPr>
                <w:rFonts w:cstheme="minorHAnsi"/>
                <w:sz w:val="24"/>
                <w:szCs w:val="24"/>
              </w:rPr>
              <w:t>, Users will no</w:t>
            </w:r>
            <w:r w:rsidR="00E85572" w:rsidRPr="00E85572">
              <w:rPr>
                <w:rFonts w:cstheme="minorHAnsi"/>
                <w:sz w:val="24"/>
                <w:szCs w:val="24"/>
              </w:rPr>
              <w:t>w</w:t>
            </w:r>
            <w:r w:rsidR="004E4D30" w:rsidRPr="00E85572">
              <w:rPr>
                <w:rFonts w:cstheme="minorHAnsi"/>
                <w:sz w:val="24"/>
                <w:szCs w:val="24"/>
              </w:rPr>
              <w:t xml:space="preserve"> receive an edit if the previous Fee for Service</w:t>
            </w:r>
            <w:r w:rsidR="007A6255" w:rsidRPr="00E85572">
              <w:rPr>
                <w:rFonts w:cstheme="minorHAnsi"/>
                <w:sz w:val="24"/>
                <w:szCs w:val="24"/>
              </w:rPr>
              <w:t xml:space="preserve">/other health plan assessment date is not entered first.  As a reminder, it is required to enter </w:t>
            </w:r>
            <w:r w:rsidR="007A6255" w:rsidRPr="00C76E1D">
              <w:rPr>
                <w:rFonts w:cstheme="minorHAnsi"/>
                <w:b/>
                <w:bCs/>
                <w:sz w:val="24"/>
                <w:szCs w:val="24"/>
              </w:rPr>
              <w:t>both</w:t>
            </w:r>
            <w:r w:rsidR="007A6255" w:rsidRPr="00E85572">
              <w:rPr>
                <w:rFonts w:cstheme="minorHAnsi"/>
                <w:sz w:val="24"/>
                <w:szCs w:val="24"/>
              </w:rPr>
              <w:t xml:space="preserve"> the date of the previous assessment done prior to enrollment and the date of the Transitional HRA.</w:t>
            </w:r>
          </w:p>
          <w:p w14:paraId="0100024A" w14:textId="77777777" w:rsidR="00911DFE" w:rsidRPr="00E85572" w:rsidRDefault="00911DFE" w:rsidP="00E85572">
            <w:pPr>
              <w:ind w:left="520"/>
              <w:rPr>
                <w:rFonts w:cstheme="minorHAnsi"/>
                <w:sz w:val="24"/>
                <w:szCs w:val="24"/>
              </w:rPr>
            </w:pPr>
          </w:p>
          <w:p w14:paraId="25011805" w14:textId="64E5F132" w:rsidR="00C0003F" w:rsidRPr="00E85572" w:rsidRDefault="00911DFE" w:rsidP="00E85572">
            <w:pPr>
              <w:ind w:left="520"/>
              <w:rPr>
                <w:rFonts w:cstheme="minorHAnsi"/>
                <w:sz w:val="24"/>
                <w:szCs w:val="24"/>
              </w:rPr>
            </w:pPr>
            <w:r w:rsidRPr="00E85572">
              <w:rPr>
                <w:rFonts w:cstheme="minorHAnsi"/>
                <w:sz w:val="24"/>
                <w:szCs w:val="24"/>
              </w:rPr>
              <w:t xml:space="preserve">In addition, Users </w:t>
            </w:r>
            <w:r w:rsidR="005C4D3E" w:rsidRPr="00E85572">
              <w:rPr>
                <w:rFonts w:cstheme="minorHAnsi"/>
                <w:sz w:val="24"/>
                <w:szCs w:val="24"/>
              </w:rPr>
              <w:t>would</w:t>
            </w:r>
            <w:r w:rsidRPr="00E85572">
              <w:rPr>
                <w:rFonts w:cstheme="minorHAnsi"/>
                <w:sz w:val="24"/>
                <w:szCs w:val="24"/>
              </w:rPr>
              <w:t xml:space="preserve"> see this edit if </w:t>
            </w:r>
            <w:r w:rsidR="00BA4E87">
              <w:rPr>
                <w:rFonts w:cstheme="minorHAnsi"/>
                <w:sz w:val="24"/>
                <w:szCs w:val="24"/>
              </w:rPr>
              <w:t xml:space="preserve">the </w:t>
            </w:r>
            <w:r w:rsidRPr="00E85572">
              <w:rPr>
                <w:rFonts w:cstheme="minorHAnsi"/>
                <w:sz w:val="24"/>
                <w:szCs w:val="24"/>
              </w:rPr>
              <w:t>previous assessment entered into Bridgeview is g</w:t>
            </w:r>
            <w:r w:rsidR="00EF4AB1" w:rsidRPr="00E85572">
              <w:rPr>
                <w:rFonts w:cstheme="minorHAnsi"/>
                <w:sz w:val="24"/>
                <w:szCs w:val="24"/>
              </w:rPr>
              <w:t>reater than 365 days</w:t>
            </w:r>
            <w:r w:rsidR="00E62EB8">
              <w:rPr>
                <w:rFonts w:cstheme="minorHAnsi"/>
                <w:sz w:val="24"/>
                <w:szCs w:val="24"/>
              </w:rPr>
              <w:t>.  As a reminder Transitional HRA</w:t>
            </w:r>
            <w:r w:rsidR="00746F3E">
              <w:rPr>
                <w:rFonts w:cstheme="minorHAnsi"/>
                <w:sz w:val="24"/>
                <w:szCs w:val="24"/>
              </w:rPr>
              <w:t>s</w:t>
            </w:r>
            <w:r w:rsidR="00E62EB8">
              <w:rPr>
                <w:rFonts w:cstheme="minorHAnsi"/>
                <w:sz w:val="24"/>
                <w:szCs w:val="24"/>
              </w:rPr>
              <w:t xml:space="preserve"> </w:t>
            </w:r>
            <w:r w:rsidR="00746F3E">
              <w:rPr>
                <w:rFonts w:cstheme="minorHAnsi"/>
                <w:sz w:val="24"/>
                <w:szCs w:val="24"/>
              </w:rPr>
              <w:t>can be done only if paired</w:t>
            </w:r>
            <w:r w:rsidR="00E62EB8">
              <w:rPr>
                <w:rFonts w:cstheme="minorHAnsi"/>
                <w:sz w:val="24"/>
                <w:szCs w:val="24"/>
              </w:rPr>
              <w:t xml:space="preserve"> with </w:t>
            </w:r>
            <w:r w:rsidR="00746F3E">
              <w:rPr>
                <w:rFonts w:cstheme="minorHAnsi"/>
                <w:sz w:val="24"/>
                <w:szCs w:val="24"/>
              </w:rPr>
              <w:t xml:space="preserve">an </w:t>
            </w:r>
            <w:r w:rsidR="00E62EB8">
              <w:rPr>
                <w:rFonts w:cstheme="minorHAnsi"/>
                <w:sz w:val="24"/>
                <w:szCs w:val="24"/>
              </w:rPr>
              <w:t xml:space="preserve">assessment completed </w:t>
            </w:r>
            <w:r w:rsidR="00E62EB8" w:rsidRPr="00B030DE">
              <w:rPr>
                <w:rFonts w:cstheme="minorHAnsi"/>
                <w:b/>
                <w:bCs/>
                <w:sz w:val="24"/>
                <w:szCs w:val="24"/>
              </w:rPr>
              <w:t>within</w:t>
            </w:r>
            <w:r w:rsidR="00E62EB8">
              <w:rPr>
                <w:rFonts w:cstheme="minorHAnsi"/>
                <w:sz w:val="24"/>
                <w:szCs w:val="24"/>
              </w:rPr>
              <w:t xml:space="preserve"> 365 days</w:t>
            </w:r>
            <w:r w:rsidR="00841364">
              <w:rPr>
                <w:rFonts w:cstheme="minorHAnsi"/>
                <w:sz w:val="24"/>
                <w:szCs w:val="24"/>
              </w:rPr>
              <w:t>.</w:t>
            </w:r>
          </w:p>
          <w:p w14:paraId="275914A2" w14:textId="77777777" w:rsidR="005B62CA" w:rsidRDefault="005B62CA" w:rsidP="003901BE">
            <w:pPr>
              <w:rPr>
                <w:rFonts w:ascii="Arial" w:hAnsi="Arial" w:cs="Arial"/>
                <w:b/>
                <w:bCs/>
                <w:color w:val="4472C4" w:themeColor="accent1"/>
                <w:sz w:val="24"/>
                <w:szCs w:val="24"/>
              </w:rPr>
            </w:pPr>
          </w:p>
          <w:p w14:paraId="776EF463" w14:textId="5A9F1BF9" w:rsidR="00A32CD4" w:rsidRPr="0080006B" w:rsidRDefault="00A32CD4" w:rsidP="003901BE">
            <w:pPr>
              <w:rPr>
                <w:rFonts w:ascii="Arial" w:hAnsi="Arial" w:cs="Arial"/>
                <w:b/>
                <w:bCs/>
                <w:color w:val="4472C4" w:themeColor="accent1"/>
                <w:sz w:val="24"/>
                <w:szCs w:val="24"/>
              </w:rPr>
            </w:pPr>
            <w:r w:rsidRPr="0080006B">
              <w:rPr>
                <w:rFonts w:ascii="Arial" w:hAnsi="Arial" w:cs="Arial"/>
                <w:b/>
                <w:bCs/>
                <w:color w:val="4472C4" w:themeColor="accent1"/>
                <w:sz w:val="24"/>
                <w:szCs w:val="24"/>
              </w:rPr>
              <w:lastRenderedPageBreak/>
              <w:t>N</w:t>
            </w:r>
            <w:r w:rsidR="00B9544B">
              <w:rPr>
                <w:rFonts w:ascii="Arial" w:hAnsi="Arial" w:cs="Arial"/>
                <w:b/>
                <w:bCs/>
                <w:color w:val="4472C4" w:themeColor="accent1"/>
                <w:sz w:val="24"/>
                <w:szCs w:val="24"/>
              </w:rPr>
              <w:t>EW MENU OPTION: EW CLAIMS</w:t>
            </w:r>
          </w:p>
          <w:p w14:paraId="7D09FC87" w14:textId="77777777" w:rsidR="00DC4E11" w:rsidRDefault="00DC4E11" w:rsidP="003901BE">
            <w:pPr>
              <w:rPr>
                <w:rFonts w:ascii="Arial" w:hAnsi="Arial" w:cs="Arial"/>
                <w:sz w:val="20"/>
                <w:szCs w:val="20"/>
              </w:rPr>
            </w:pPr>
          </w:p>
          <w:p w14:paraId="2142F05B" w14:textId="37DB22C4" w:rsidR="004C13EF" w:rsidRPr="00835F0C" w:rsidRDefault="000075B0" w:rsidP="00473DF4">
            <w:pPr>
              <w:ind w:left="465"/>
              <w:rPr>
                <w:sz w:val="24"/>
                <w:szCs w:val="24"/>
              </w:rPr>
            </w:pPr>
            <w:r w:rsidRPr="00835F0C">
              <w:rPr>
                <w:sz w:val="24"/>
                <w:szCs w:val="24"/>
              </w:rPr>
              <w:t xml:space="preserve">Displays, view only, elderly waiver claims received and processed. Keep in mind providers have up to 180 days to submit claims and may be delayed depending on when the provider submits their claims.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8766"/>
            </w:tblGrid>
            <w:tr w:rsidR="004C13EF" w14:paraId="2A8EC24B" w14:textId="77777777" w:rsidTr="006F5C70">
              <w:tc>
                <w:tcPr>
                  <w:tcW w:w="3415" w:type="dxa"/>
                </w:tcPr>
                <w:p w14:paraId="21093A44" w14:textId="77777777" w:rsidR="004C13EF" w:rsidRDefault="002C4EF4" w:rsidP="00297CF7">
                  <w:pPr>
                    <w:framePr w:hSpace="180" w:wrap="around" w:vAnchor="page" w:hAnchor="margin" w:xAlign="right" w:y="2266"/>
                    <w:jc w:val="center"/>
                    <w:rPr>
                      <w:rFonts w:ascii="Arial" w:hAnsi="Arial" w:cs="Arial"/>
                      <w:sz w:val="20"/>
                      <w:szCs w:val="20"/>
                    </w:rPr>
                  </w:pPr>
                  <w:r>
                    <w:rPr>
                      <w:noProof/>
                    </w:rPr>
                    <w:drawing>
                      <wp:inline distT="0" distB="0" distL="0" distR="0" wp14:anchorId="10F9B2F3" wp14:editId="3D255190">
                        <wp:extent cx="1091609" cy="2507504"/>
                        <wp:effectExtent l="152400" t="152400" r="356235" b="369570"/>
                        <wp:docPr id="1880852212" name="Picture 1"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852212" name="Picture 1" descr="A screenshot of a phone&#10;&#10;AI-generated content may be incorrect."/>
                                <pic:cNvPicPr/>
                              </pic:nvPicPr>
                              <pic:blipFill>
                                <a:blip r:embed="rId15"/>
                                <a:stretch>
                                  <a:fillRect/>
                                </a:stretch>
                              </pic:blipFill>
                              <pic:spPr>
                                <a:xfrm>
                                  <a:off x="0" y="0"/>
                                  <a:ext cx="1108446" cy="2546179"/>
                                </a:xfrm>
                                <a:prstGeom prst="rect">
                                  <a:avLst/>
                                </a:prstGeom>
                                <a:ln>
                                  <a:noFill/>
                                </a:ln>
                                <a:effectLst>
                                  <a:outerShdw blurRad="292100" dist="139700" dir="2700000" algn="tl" rotWithShape="0">
                                    <a:srgbClr val="333333">
                                      <a:alpha val="65000"/>
                                    </a:srgbClr>
                                  </a:outerShdw>
                                </a:effectLst>
                              </pic:spPr>
                            </pic:pic>
                          </a:graphicData>
                        </a:graphic>
                      </wp:inline>
                    </w:drawing>
                  </w:r>
                </w:p>
                <w:p w14:paraId="3C4AC2B5" w14:textId="75BA8E80" w:rsidR="002C4EF4" w:rsidRDefault="002C4EF4" w:rsidP="00297CF7">
                  <w:pPr>
                    <w:framePr w:hSpace="180" w:wrap="around" w:vAnchor="page" w:hAnchor="margin" w:xAlign="right" w:y="2266"/>
                    <w:rPr>
                      <w:rFonts w:ascii="Arial" w:hAnsi="Arial" w:cs="Arial"/>
                      <w:sz w:val="20"/>
                      <w:szCs w:val="20"/>
                    </w:rPr>
                  </w:pPr>
                </w:p>
              </w:tc>
              <w:tc>
                <w:tcPr>
                  <w:tcW w:w="7879" w:type="dxa"/>
                </w:tcPr>
                <w:p w14:paraId="1B1C5FAA" w14:textId="6DE7E951" w:rsidR="004C13EF" w:rsidRDefault="002C4EF4" w:rsidP="00297CF7">
                  <w:pPr>
                    <w:framePr w:hSpace="180" w:wrap="around" w:vAnchor="page" w:hAnchor="margin" w:xAlign="right" w:y="2266"/>
                    <w:rPr>
                      <w:rFonts w:ascii="Arial" w:hAnsi="Arial" w:cs="Arial"/>
                      <w:sz w:val="20"/>
                      <w:szCs w:val="20"/>
                    </w:rPr>
                  </w:pPr>
                  <w:r>
                    <w:rPr>
                      <w:noProof/>
                    </w:rPr>
                    <w:drawing>
                      <wp:inline distT="0" distB="0" distL="0" distR="0" wp14:anchorId="74EEA868" wp14:editId="21CB8750">
                        <wp:extent cx="4913556" cy="2452577"/>
                        <wp:effectExtent l="152400" t="152400" r="363855" b="367030"/>
                        <wp:docPr id="1827545634" name="Picture 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752199" name="Picture 2" descr="A screenshot of a computer&#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29959" cy="2460764"/>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14:paraId="2BA96C10" w14:textId="77777777" w:rsidR="000F0E60" w:rsidRDefault="000F0E60" w:rsidP="006F5C70">
            <w:pPr>
              <w:rPr>
                <w:rFonts w:ascii="Arial" w:hAnsi="Arial" w:cs="Arial"/>
                <w:sz w:val="20"/>
                <w:szCs w:val="20"/>
              </w:rPr>
            </w:pPr>
          </w:p>
          <w:p w14:paraId="4541414E" w14:textId="77777777" w:rsidR="00A7131E" w:rsidRPr="00845AE3" w:rsidRDefault="00A7131E" w:rsidP="006F5C70">
            <w:pPr>
              <w:ind w:left="720"/>
              <w:rPr>
                <w:rFonts w:ascii="Arial" w:hAnsi="Arial" w:cs="Arial"/>
                <w:b/>
                <w:bCs/>
                <w:color w:val="4472C4" w:themeColor="accent1"/>
                <w:sz w:val="24"/>
                <w:szCs w:val="24"/>
              </w:rPr>
            </w:pPr>
            <w:r w:rsidRPr="00845AE3">
              <w:rPr>
                <w:rFonts w:ascii="Arial" w:hAnsi="Arial" w:cs="Arial"/>
                <w:b/>
                <w:bCs/>
                <w:color w:val="4472C4" w:themeColor="accent1"/>
                <w:sz w:val="24"/>
                <w:szCs w:val="24"/>
              </w:rPr>
              <w:t>Over CM Cap Entries in Bridgeview</w:t>
            </w:r>
          </w:p>
          <w:p w14:paraId="6EA8D5AD" w14:textId="77777777" w:rsidR="00A02099" w:rsidRDefault="00A02099" w:rsidP="00A7131E"/>
          <w:p w14:paraId="73731DF5" w14:textId="36F1A08B" w:rsidR="00A7131E" w:rsidRDefault="00203E6D" w:rsidP="00A02099">
            <w:pPr>
              <w:ind w:left="720"/>
            </w:pPr>
            <w:r>
              <w:t>E</w:t>
            </w:r>
            <w:r w:rsidR="00A7131E">
              <w:t>ffective immediately, a service agreement entry that causes your member to go over their assessed case mix cap will no longer save. Users will receive the following edit message below.</w:t>
            </w:r>
          </w:p>
          <w:p w14:paraId="22512AEE" w14:textId="77777777" w:rsidR="00A7131E" w:rsidRDefault="00A7131E" w:rsidP="00A02099">
            <w:pPr>
              <w:ind w:left="720"/>
            </w:pPr>
            <w:r>
              <w:t>If users receive this edit message and believe the authorized (entered) services are within the member’s case mix cap, review the following information for accuracy for entered service agreement(s) and reach out to your Partner Relations Consultant for assistance.</w:t>
            </w:r>
          </w:p>
          <w:p w14:paraId="1EE8A7BB" w14:textId="77777777" w:rsidR="00A7131E" w:rsidRDefault="00A7131E" w:rsidP="00A02099">
            <w:pPr>
              <w:pStyle w:val="ListParagraph"/>
              <w:widowControl/>
              <w:numPr>
                <w:ilvl w:val="0"/>
                <w:numId w:val="21"/>
              </w:numPr>
              <w:autoSpaceDE/>
              <w:autoSpaceDN/>
              <w:spacing w:before="0" w:after="160" w:line="259" w:lineRule="auto"/>
              <w:ind w:left="1440"/>
              <w:contextualSpacing/>
            </w:pPr>
            <w:r>
              <w:t xml:space="preserve">Unit(s) </w:t>
            </w:r>
          </w:p>
          <w:p w14:paraId="5E777E68" w14:textId="77777777" w:rsidR="00A7131E" w:rsidRDefault="00A7131E" w:rsidP="00A02099">
            <w:pPr>
              <w:pStyle w:val="ListParagraph"/>
              <w:widowControl/>
              <w:numPr>
                <w:ilvl w:val="0"/>
                <w:numId w:val="21"/>
              </w:numPr>
              <w:autoSpaceDE/>
              <w:autoSpaceDN/>
              <w:spacing w:before="0" w:after="160" w:line="259" w:lineRule="auto"/>
              <w:ind w:left="1440"/>
              <w:contextualSpacing/>
            </w:pPr>
            <w:r>
              <w:t xml:space="preserve">Rate per unit </w:t>
            </w:r>
          </w:p>
          <w:p w14:paraId="48D18FFD" w14:textId="6FD545B6" w:rsidR="000F0E60" w:rsidRPr="00D3050B" w:rsidRDefault="00845AE3" w:rsidP="00845AE3">
            <w:pPr>
              <w:ind w:left="720"/>
              <w:rPr>
                <w:rFonts w:ascii="Arial" w:hAnsi="Arial" w:cs="Arial"/>
                <w:sz w:val="20"/>
                <w:szCs w:val="20"/>
              </w:rPr>
            </w:pPr>
            <w:r>
              <w:rPr>
                <w:noProof/>
              </w:rPr>
              <w:lastRenderedPageBreak/>
              <w:drawing>
                <wp:inline distT="0" distB="0" distL="0" distR="0" wp14:anchorId="63E05179" wp14:editId="6BF90A6E">
                  <wp:extent cx="5134819" cy="2600325"/>
                  <wp:effectExtent l="152400" t="152400" r="370840" b="333375"/>
                  <wp:docPr id="146629794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297944" name="Picture 1" descr="A screenshot of a computer&#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38057" cy="2601965"/>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14:paraId="404D7F97" w14:textId="77777777" w:rsidR="00F04D76" w:rsidRDefault="00F04D76"/>
    <w:p w14:paraId="2E4CE39D" w14:textId="77777777" w:rsidR="00F04D76" w:rsidRDefault="00F04D76"/>
    <w:p w14:paraId="5724CEDC" w14:textId="77777777" w:rsidR="00F04D76" w:rsidRDefault="00F04D76"/>
    <w:p w14:paraId="118BB89E" w14:textId="77777777" w:rsidR="00F04D76" w:rsidRDefault="00F04D76"/>
    <w:p w14:paraId="57B08A8B" w14:textId="77777777" w:rsidR="00FA7110" w:rsidRDefault="00FA7110"/>
    <w:p w14:paraId="1B046C4A" w14:textId="77777777" w:rsidR="00FA7110" w:rsidRDefault="00FA7110" w:rsidP="005D6BC6">
      <w:pPr>
        <w:tabs>
          <w:tab w:val="left" w:pos="2520"/>
        </w:tabs>
      </w:pPr>
    </w:p>
    <w:p w14:paraId="3544C243" w14:textId="5E87CDE4" w:rsidR="00CA04A0" w:rsidRDefault="00CA04A0"/>
    <w:p w14:paraId="2DD46C7A" w14:textId="4EC981B7" w:rsidR="00CA04A0" w:rsidRDefault="00CA04A0"/>
    <w:p w14:paraId="76A88B70" w14:textId="5D030BAA" w:rsidR="00CA04A0" w:rsidRDefault="00CA04A0"/>
    <w:p w14:paraId="0CB19B44" w14:textId="32257D1A" w:rsidR="00CA04A0" w:rsidRDefault="00CA04A0" w:rsidP="00D5294C"/>
    <w:p w14:paraId="14017EAE" w14:textId="5E31E0A1" w:rsidR="00CA04A0" w:rsidRDefault="00CA04A0" w:rsidP="00D5294C"/>
    <w:p w14:paraId="0B2F0979" w14:textId="77777777" w:rsidR="00CA04A0" w:rsidRDefault="00CA04A0" w:rsidP="00D5294C"/>
    <w:p w14:paraId="44AC8187" w14:textId="77777777" w:rsidR="00CA04A0" w:rsidRDefault="00CA04A0" w:rsidP="00D5294C"/>
    <w:p w14:paraId="142F2F1E" w14:textId="77777777" w:rsidR="00BB1FFD" w:rsidRPr="00BB1FFD" w:rsidRDefault="00BB1FFD" w:rsidP="00D5294C"/>
    <w:p w14:paraId="4590D332" w14:textId="785BB04C" w:rsidR="00BB1FFD" w:rsidRDefault="00BB1FFD" w:rsidP="00BB1FFD"/>
    <w:p w14:paraId="6C70ECE1" w14:textId="0C6A678B" w:rsidR="00BB1FFD" w:rsidRPr="00BB1FFD" w:rsidRDefault="00BB1FFD" w:rsidP="00BB1FFD"/>
    <w:p w14:paraId="312A35C6" w14:textId="2D4576B2" w:rsidR="00690495" w:rsidRPr="00690495" w:rsidRDefault="00690495" w:rsidP="00690495">
      <w:pPr>
        <w:tabs>
          <w:tab w:val="left" w:pos="5355"/>
        </w:tabs>
      </w:pPr>
    </w:p>
    <w:sectPr w:rsidR="00690495" w:rsidRPr="00690495" w:rsidSect="00696BE2">
      <w:headerReference w:type="default" r:id="rId18"/>
      <w:pgSz w:w="15840" w:h="12240" w:orient="landscape"/>
      <w:pgMar w:top="720"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4E956" w14:textId="77777777" w:rsidR="00C40160" w:rsidRDefault="00C40160" w:rsidP="00BB1FFD">
      <w:pPr>
        <w:spacing w:after="0" w:line="240" w:lineRule="auto"/>
      </w:pPr>
      <w:r>
        <w:separator/>
      </w:r>
    </w:p>
  </w:endnote>
  <w:endnote w:type="continuationSeparator" w:id="0">
    <w:p w14:paraId="652E13E3" w14:textId="77777777" w:rsidR="00C40160" w:rsidRDefault="00C40160" w:rsidP="00BB1FFD">
      <w:pPr>
        <w:spacing w:after="0" w:line="240" w:lineRule="auto"/>
      </w:pPr>
      <w:r>
        <w:continuationSeparator/>
      </w:r>
    </w:p>
  </w:endnote>
  <w:endnote w:type="continuationNotice" w:id="1">
    <w:p w14:paraId="131049F5" w14:textId="77777777" w:rsidR="00C40160" w:rsidRDefault="00C401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Book">
    <w:panose1 w:val="020B05030201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6B339" w14:textId="77777777" w:rsidR="00C40160" w:rsidRDefault="00C40160" w:rsidP="00BB1FFD">
      <w:pPr>
        <w:spacing w:after="0" w:line="240" w:lineRule="auto"/>
      </w:pPr>
      <w:r>
        <w:separator/>
      </w:r>
    </w:p>
  </w:footnote>
  <w:footnote w:type="continuationSeparator" w:id="0">
    <w:p w14:paraId="2AA43067" w14:textId="77777777" w:rsidR="00C40160" w:rsidRDefault="00C40160" w:rsidP="00BB1FFD">
      <w:pPr>
        <w:spacing w:after="0" w:line="240" w:lineRule="auto"/>
      </w:pPr>
      <w:r>
        <w:continuationSeparator/>
      </w:r>
    </w:p>
  </w:footnote>
  <w:footnote w:type="continuationNotice" w:id="1">
    <w:p w14:paraId="28A41520" w14:textId="77777777" w:rsidR="00C40160" w:rsidRDefault="00C401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3801F" w14:textId="1F06C73D" w:rsidR="00AF1D04" w:rsidRDefault="005C7FFC">
    <w:pPr>
      <w:pStyle w:val="Header"/>
    </w:pPr>
    <w:r>
      <w:rPr>
        <w:noProof/>
      </w:rPr>
      <mc:AlternateContent>
        <mc:Choice Requires="wps">
          <w:drawing>
            <wp:anchor distT="45720" distB="45720" distL="114300" distR="114300" simplePos="0" relativeHeight="251658243" behindDoc="1" locked="0" layoutInCell="1" allowOverlap="1" wp14:anchorId="6216301F" wp14:editId="64581907">
              <wp:simplePos x="0" y="0"/>
              <wp:positionH relativeFrom="page">
                <wp:posOffset>7620</wp:posOffset>
              </wp:positionH>
              <wp:positionV relativeFrom="page">
                <wp:posOffset>0</wp:posOffset>
              </wp:positionV>
              <wp:extent cx="1914525" cy="4244340"/>
              <wp:effectExtent l="0" t="0" r="9525"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244340"/>
                      </a:xfrm>
                      <a:prstGeom prst="rect">
                        <a:avLst/>
                      </a:prstGeom>
                      <a:solidFill>
                        <a:srgbClr val="00B0F0"/>
                      </a:solidFill>
                      <a:ln w="9525">
                        <a:noFill/>
                        <a:miter lim="800000"/>
                        <a:headEnd/>
                        <a:tailEnd/>
                      </a:ln>
                    </wps:spPr>
                    <wps:txbx>
                      <w:txbxContent>
                        <w:p w14:paraId="068BA34E" w14:textId="77777777" w:rsidR="005C7FFC" w:rsidRDefault="005C7FFC" w:rsidP="005C7FFC">
                          <w:pPr>
                            <w:rPr>
                              <w:rFonts w:ascii="Franklin Gothic Book" w:hAnsi="Franklin Gothic Book"/>
                              <w:b/>
                              <w:bCs/>
                              <w:color w:val="FFFFFF" w:themeColor="background1"/>
                              <w:sz w:val="36"/>
                              <w:szCs w:val="36"/>
                            </w:rPr>
                          </w:pPr>
                          <w:bookmarkStart w:id="0" w:name="_Hlk132280772"/>
                          <w:bookmarkEnd w:id="0"/>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16301F" id="_x0000_t202" coordsize="21600,21600" o:spt="202" path="m,l,21600r21600,l21600,xe">
              <v:stroke joinstyle="miter"/>
              <v:path gradientshapeok="t" o:connecttype="rect"/>
            </v:shapetype>
            <v:shape id="Text Box 2" o:spid="_x0000_s1026" type="#_x0000_t202" style="position:absolute;margin-left:.6pt;margin-top:0;width:150.75pt;height:334.2pt;z-index:-251658237;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opDQIAAPcDAAAOAAAAZHJzL2Uyb0RvYy54bWysU9tu2zAMfR+wfxD0vtjJnK014hRtugwD&#10;ugvQ7QNkWY6FyaJGKbG7rx8lJ2m2vQ3zgyCa5CF5eLS6GXvDDgq9Blvx+SznTFkJjba7in/7un11&#10;xZkPwjbCgFUVf1Ke36xfvlgNrlQL6MA0ChmBWF8OruJdCK7MMi871Qs/A6csOVvAXgQycZc1KAZC&#10;7022yPM32QDYOASpvKe/95OTrxN+2yoZPretV4GZilNvIZ2Yzjqe2Xolyh0K12l5bEP8Qxe90JaK&#10;nqHuRRBsj/ovqF5LBA9tmEnoM2hbLVWagaaZ539M89gJp9IsRI53Z5r8/4OVnw6P7guyMN7BSAtM&#10;Q3j3APK7ZxY2nbA7dYsIQ6dEQ4XnkbJscL48pkaqfekjSD18hIaWLPYBEtDYYh9ZoTkZodMCns6k&#10;qzEwGUtez4vlYsmZJF+xKIrXRVpLJspTukMf3ivoWbxUHGmrCV4cHnyI7YjyFBKreTC62WpjkoG7&#10;emOQHURUQH6Xb0/ov4UZy4aKX8dGYpaFmJ/E0etACjW6r/hVHr9JM5GOd7ZJIUFoM92pE2OP/ERK&#10;JnLCWI8UGHmqoXkiphAmJdLLoUsH+JOzgVRYcf9jL1BxZj5YYpu4ITZYSEaxfLsgAy899aVHWElQ&#10;FQ+cTddNSFKfJrqlrbQ68fXcybFXUlei8fgSonwv7RT1/F7XvwAAAP//AwBQSwMEFAAGAAgAAAAh&#10;AEAAXKDYAAAABgEAAA8AAABkcnMvZG93bnJldi54bWxMj8FOwzAQRO9I/IO1SFwQdUhRaNM4VYUE&#10;9xY+wI23cVR7HWK7DX/PcoLjaEYzb5rt7J244BSHQAqeFgUIpC6YgXoFnx9vjysQMWky2gVCBd8Y&#10;Ydve3jS6NuFKe7wcUi+4hGKtFdiUxlrK2Fn0Oi7CiMTeKUxeJ5ZTL82kr1zunSyLopJeD8QLVo/4&#10;arE7H7JXkE9faM77tM5UFdYv3x/MzmWl7u/m3QZEwjn9heEXn9GhZaZjyGSicKxLDirgP2wui/IF&#10;xFFBVa2eQbaN/I/f/gAAAP//AwBQSwECLQAUAAYACAAAACEAtoM4kv4AAADhAQAAEwAAAAAAAAAA&#10;AAAAAAAAAAAAW0NvbnRlbnRfVHlwZXNdLnhtbFBLAQItABQABgAIAAAAIQA4/SH/1gAAAJQBAAAL&#10;AAAAAAAAAAAAAAAAAC8BAABfcmVscy8ucmVsc1BLAQItABQABgAIAAAAIQDICDopDQIAAPcDAAAO&#10;AAAAAAAAAAAAAAAAAC4CAABkcnMvZTJvRG9jLnhtbFBLAQItABQABgAIAAAAIQBAAFyg2AAAAAYB&#10;AAAPAAAAAAAAAAAAAAAAAGcEAABkcnMvZG93bnJldi54bWxQSwUGAAAAAAQABADzAAAAbAUAAAAA&#10;" fillcolor="#00b0f0" stroked="f">
              <v:textbox>
                <w:txbxContent>
                  <w:p w14:paraId="068BA34E" w14:textId="77777777" w:rsidR="005C7FFC" w:rsidRDefault="005C7FFC" w:rsidP="005C7FFC">
                    <w:pPr>
                      <w:rPr>
                        <w:rFonts w:ascii="Franklin Gothic Book" w:hAnsi="Franklin Gothic Book"/>
                        <w:b/>
                        <w:bCs/>
                        <w:color w:val="FFFFFF" w:themeColor="background1"/>
                        <w:sz w:val="36"/>
                        <w:szCs w:val="36"/>
                      </w:rPr>
                    </w:pPr>
                    <w:bookmarkStart w:id="2" w:name="_Hlk132280772"/>
                    <w:bookmarkEnd w:id="2"/>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v:textbox>
              <w10:wrap anchorx="page" anchory="page"/>
            </v:shape>
          </w:pict>
        </mc:Fallback>
      </mc:AlternateContent>
    </w:r>
    <w:r w:rsidR="00CA04A0">
      <w:rPr>
        <w:noProof/>
      </w:rPr>
      <w:drawing>
        <wp:anchor distT="0" distB="0" distL="114300" distR="114300" simplePos="0" relativeHeight="251658240" behindDoc="1" locked="0" layoutInCell="1" allowOverlap="1" wp14:anchorId="694BD564" wp14:editId="23011B31">
          <wp:simplePos x="0" y="0"/>
          <wp:positionH relativeFrom="page">
            <wp:align>right</wp:align>
          </wp:positionH>
          <wp:positionV relativeFrom="page">
            <wp:align>top</wp:align>
          </wp:positionV>
          <wp:extent cx="8239125" cy="1228725"/>
          <wp:effectExtent l="0" t="0" r="9525" b="9525"/>
          <wp:wrapNone/>
          <wp:docPr id="6" name="Picture 6" descr="highlight chart header_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ghlight chart header_54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391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A04A0">
      <w:rPr>
        <w:noProof/>
      </w:rPr>
      <mc:AlternateContent>
        <mc:Choice Requires="wps">
          <w:drawing>
            <wp:anchor distT="0" distB="0" distL="114300" distR="114300" simplePos="0" relativeHeight="251658242" behindDoc="1" locked="0" layoutInCell="1" allowOverlap="1" wp14:anchorId="7F8D60B0" wp14:editId="40852774">
              <wp:simplePos x="0" y="0"/>
              <wp:positionH relativeFrom="margin">
                <wp:posOffset>-447675</wp:posOffset>
              </wp:positionH>
              <wp:positionV relativeFrom="page">
                <wp:align>top</wp:align>
              </wp:positionV>
              <wp:extent cx="2562225" cy="9334500"/>
              <wp:effectExtent l="0" t="0" r="9525" b="0"/>
              <wp:wrapNone/>
              <wp:docPr id="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2225" cy="9334500"/>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00B0F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1CFCC6" id="Freeform 45" o:spid="_x0000_s1026" style="position:absolute;margin-left:-35.25pt;margin-top:0;width:201.75pt;height:735pt;z-index:-251658238;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margin;mso-height-relative:margin;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8cPAYAAHkbAAAOAAAAZHJzL2Uyb0RvYy54bWysWdtu20YQfS/QfyD4WKARl9zlRbActAlc&#10;FEgvQNwPoCnKEiqRLElbTr8+Z5ZLZTfOUIuiL6ZkHg3nzFnuXPbm7cvpGDzX/XBom00o3kRhUDdV&#10;uz00j5vwr/u7H/MwGMay2ZbHtqk34ad6CN/efv/dzblb13G7b4/bug9gpBnW524T7sexW69WQ7Wv&#10;T+Xwpu3qBjd3bX8qR3ztH1fbvjzD+um4iqMoXZ3bftv1bVUPA/77froZ3mr7u11djX/sdkM9BsdN&#10;CN9G/bfXfx/o7+r2plw/9mW3P1TGjfI/eHEqDw0eejH1vhzL4Kk/vDJ1OlR9O7S78U3Vnlbtbneo&#10;as0BbET0FZuP+7KrNRcEZ+guYRr+P7PV788fuz97cn3oPrTV3wMisjp3w/pyh74MwAQP59/aLTQs&#10;n8ZWk33Z9Sf6JWgELzqmny4xrV/GoMI/Y5XGcazCoMK9IkmkinTUV+V6/nn1NIy/1K02VT5/GMZJ&#10;lC0+6ZBug6Y84bn3EHB3OkKfH1aBEkkRnHGRs4gXmLBgQuXA7QNcXwNjCwh7GWMvsWBCZank7EkL&#10;CHsRYw/BuNAQKs1Z/1ILqETM2cssGOyJlPMP7+LlwUpEivGvsGBCKcnyFY4gUZ4yBoWriMx4i44k&#10;UZpwFl1NJLgwGgtHlChhfXRVSZKctejIgj2I89HVJc4S1qItjCyymLPoKhOLiLMY28rIIuGkjl1l&#10;hGTXYmwrI/OCtegqExW8j7YyMleCYU2bx2XZChUl7OqJbWVkzi7w2FFGFjnvo6NMpljWjjKyiNnV&#10;kzjKZBG3whNHGZnzPiaOMqnMmTgmjjIy5+OYOMqoglMmcZSRGYDMW5g4yqiEtegqk6mYtegoI1Mu&#10;GSSuMplgdwrkhy/rTNKW8u30Il1l0pz1UTrKJGzCkq4yKc9aOsrEGRdH6SqTxmxOkI4yKEI41q4y&#10;acS+hdJRRsScMtJVRuWsMspRJlLcjqtcZRTCw6xHZSuTFJDw21orVxmVsjuFspVJCjYrKFcZpdis&#10;oGxlEpQvnI+uMopfPcpWZsmirQzLOLVV4ZxLbUl4U7YcrClHC6rnOHVTRws+cqmjxaJFTy1SR4ul&#10;2jO1tVgoZlNbi1fVLKrox7lOLvdz6Vy9NKZ2xqegpFYs0gV71w5UqFMhjWr8XlD7AxNAUaHNgKEN&#10;gRMvMCJPYOUFRlAJnHmBES8CF15gqkwJjcrTh6IwHIUfSaoptXU/msLwFH5EhWEq/KhSqUfOoJTz&#10;oUp1nIb7UY0NVRRhXtYNVVRYXnBDNfajSrUT+Y7ayMc6FUYa7keVqh4N96NKJY2G+1FNDFXUIz6+&#10;UzFC1lFseMENVVQSXnBDFWWCF9xQlX5UqQDQvvtRpexOcGRvH2codWu4H1XKyxruR5WSrob7UaWM&#10;quF+VCllEhxZ0YdqaqimflQp7WnrflRTQxU5y8sZQxUJyYJP2cNkmx7jtq8HbX0YYND2QL8p1105&#10;UpKaPwbnTagHOMEes0M9oaFbp/a5vm81aKR0RdlRM9Ppzzz9C+jYfAVGDkYY9KTGgGfIfO1mu5Me&#10;eghzBWq2WT1fuQKNUFZoBzA6WYZiZGKgmIlcgWIRTFbRmVyBmq1JKEwxrkCj2QGMJxahNJYwDmDu&#10;cAVKjaGOAAYKy1AMEgwUk4IrUCrvtVWMAK5AZwmot1+GoqefrFLTfgUaGQmoG1+Gogs3VtFmL0PR&#10;Xhso+ucrUBoKUAQkGuNlKBriGSqWlwt1ugaKVnbZKlrYGXrNAfSmMxRjmWnHmF+/+Tq9hhJN5wyN&#10;rgQL3aSBol1ctoo2cYbClSUHqP+bodihl6HzCyPRuS1DaeA8qYWWzA+6/PDJnA/mMu3G9jwHe75O&#10;Qafub/JuHox7QS/Vy2xtvl521Nc79QSBedr9db9xSQOUPazh/9AeD9u7w/FIe//QPz68O/bBc0lH&#10;N9HP0d3M3IEddevStPSzWTlzgkGHFnQQNKwf2u0nHGD07XT+g/MqfNi3/b9hcMbZzyYc/nkq+zoM&#10;jr82OFwpBF4KHBbpL1JltPf39p0H+07ZVDC1CccQrRZ9fDdOB0xPXX943ONJQjdfTfsTDk52Bzre&#10;0Ccsk1fmC853dGzMWRQdINnfNerLidntZwAAAP//AwBQSwMEFAAGAAgAAAAhAJKPBXXcAAAACQEA&#10;AA8AAABkcnMvZG93bnJldi54bWxMj8FOwzAQRO9I/IO1SNxamwZoSeNUpVJvSEDgA5x4m0TE68h2&#10;m/D3LCe47WieZmeK3ewGccEQe08a7pYKBFLjbU+ths+P42IDIiZD1gyeUMM3RtiV11eFya2f6B0v&#10;VWoFh1DMjYYupTGXMjYdOhOXfkRi7+SDM4llaKUNZuJwN8iVUo/SmZ74Q2dGPHTYfFVnp+FtxGNI&#10;1VNQh/C8etm8TnU17LW+vZn3WxAJ5/QHw299rg4ld6r9mWwUg4bFWj0wqoEXsZ1lGR81c/drpUCW&#10;hfy/oPwBAAD//wMAUEsBAi0AFAAGAAgAAAAhALaDOJL+AAAA4QEAABMAAAAAAAAAAAAAAAAAAAAA&#10;AFtDb250ZW50X1R5cGVzXS54bWxQSwECLQAUAAYACAAAACEAOP0h/9YAAACUAQAACwAAAAAAAAAA&#10;AAAAAAAvAQAAX3JlbHMvLnJlbHNQSwECLQAUAAYACAAAACEAxFR/HDwGAAB5GwAADgAAAAAAAAAA&#10;AAAAAAAuAgAAZHJzL2Uyb0RvYy54bWxQSwECLQAUAAYACAAAACEAko8FddwAAAAJAQAADwAAAAAA&#10;AAAAAAAAAACWCAAAZHJzL2Rvd25yZXYueG1sUEsFBgAAAAAEAAQA8wAAAJ8JAAAAAA==&#10;" path="m5139,15839r-2,-75l5130,15689r-10,-73l5105,15544r-19,-70l5063,15405r-27,-67l5006,15273r-34,-63l4935,15149r-40,-59l4851,15034r-46,-54l4755,14928r-52,-48l4648,14834r-57,-43l4531,14752r-62,-37l4405,14682r-66,-30l4271,14626r-70,-22l4129,14585r-73,-14l3982,14560r-76,-7l3840,14552,3840,,,,,15840r3840,l3840,15839r1299,e" fillcolor="#00b0f0" stroked="f">
              <v:path arrowok="t" o:connecttype="custom" o:connectlocs="2561727,9333911;2560730,9289713;2557240,9245516;2552255,9202497;2544778,9160067;2535307,9118816;2523841,9078155;2510382,9038672;2495428,9000367;2478479,8963241;2460035,8927294;2440096,8892526;2418162,8859525;2395232,8827703;2370307,8797059;2344386,8768773;2316969,8741665;2288555,8716325;2258646,8693342;2227740,8671538;2195837,8652091;2162937,8634413;2129039,8619091;2094145,8606126;2058254,8594929;2021865,8586679;1984977,8580197;1947092,8576072;1914191,8575483;1914191,0;0,0;0,9334500;1914191,9334500;1914191,9333911;2561727,9333911" o:connectangles="0,0,0,0,0,0,0,0,0,0,0,0,0,0,0,0,0,0,0,0,0,0,0,0,0,0,0,0,0,0,0,0,0,0,0"/>
              <w10:wrap anchorx="margin" anchory="page"/>
            </v:shape>
          </w:pict>
        </mc:Fallback>
      </mc:AlternateContent>
    </w:r>
    <w:r w:rsidR="006B5D91">
      <w:rPr>
        <w:noProof/>
      </w:rPr>
      <mc:AlternateContent>
        <mc:Choice Requires="wps">
          <w:drawing>
            <wp:anchor distT="45720" distB="45720" distL="114300" distR="114300" simplePos="0" relativeHeight="251658241" behindDoc="0" locked="0" layoutInCell="1" allowOverlap="1" wp14:anchorId="27358D35" wp14:editId="2270C5C3">
              <wp:simplePos x="0" y="0"/>
              <wp:positionH relativeFrom="column">
                <wp:posOffset>3733800</wp:posOffset>
              </wp:positionH>
              <wp:positionV relativeFrom="paragraph">
                <wp:posOffset>-723900</wp:posOffset>
              </wp:positionV>
              <wp:extent cx="2360930" cy="914400"/>
              <wp:effectExtent l="0" t="0" r="0" b="0"/>
              <wp:wrapSquare wrapText="bothSides"/>
              <wp:docPr id="1858126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14400"/>
                      </a:xfrm>
                      <a:prstGeom prst="rect">
                        <a:avLst/>
                      </a:prstGeom>
                      <a:noFill/>
                      <a:ln w="9525">
                        <a:noFill/>
                        <a:miter lim="800000"/>
                        <a:headEnd/>
                        <a:tailEnd/>
                      </a:ln>
                    </wps:spPr>
                    <wps:txb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6F58B87E" w:rsidR="00AF1D04" w:rsidRPr="00AF1D04" w:rsidRDefault="006314E9"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3-14-2025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7358D35" id="_x0000_s1027" type="#_x0000_t202" style="position:absolute;margin-left:294pt;margin-top:-57pt;width:185.9pt;height:1in;z-index:251658241;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pw+QEAANQDAAAOAAAAZHJzL2Uyb0RvYy54bWysU8tu2zAQvBfoPxC815IdO00Ey0GaNEWB&#10;9AGk/QCaoiyiJJdd0pbcr++SUhyjvRXVgVhyxdmd2eH6ZrCGHRQGDa7m81nJmXISGu12Nf/+7eHN&#10;FWchCtcIA07V/KgCv9m8frXufaUW0IFpFDICcaHqfc27GH1VFEF2yoowA68cJVtAKyJtcVc0KHpC&#10;t6ZYlOVl0QM2HkGqEOj0fkzyTcZvWyXjl7YNKjJTc+ot5hXzuk1rsVmLaofCd1pObYh/6MIK7ajo&#10;CepeRMH2qP+CsloiBGjjTIItoG21VJkDsZmXf7B56oRXmQuJE/xJpvD/YOXnw5P/iiwO72CgAWYS&#10;wT+C/BGYg7tOuJ26RYS+U6KhwvMkWdH7UE1Xk9ShCglk23+ChoYs9hEy0NCiTaoQT0boNIDjSXQ1&#10;RCbpcHFxWV5fUEpS7nq+XJZ5KoWonm97DPGDAstSUHOkoWZ0cXgMMXUjqudfUjEHD9qYPFjjWE+g&#10;q8UqXzjLWB3Jd0bbml+V6RudkEi+d02+HIU2Y0wFjJtYJ6Ij5ThsB6abSZIkwhaaI8mAMNqMngUF&#10;HeAvznqyWM3Dz71AxZn56EjKTJY8mTfL1dsFiYDnme15RjhJUDWPnI3hXcw+HinfkuStzmq8dDK1&#10;TNbJIk02T9483+e/Xh7j5jcAAAD//wMAUEsDBBQABgAIAAAAIQBImx2E4QAAAAsBAAAPAAAAZHJz&#10;L2Rvd25yZXYueG1sTI/LTsMwEEX3SPyDNUjsWjvQQJrGqRAqCyQWUMretZ1HicdR7KSBr2dYwW5G&#10;c3XnnGI7u45NdgitRwnJUgCzqL1psZZweH9aZMBCVGhU59FK+LIBtuXlRaFy48/4Zqd9rBmVYMiV&#10;hCbGPuc86MY6FZa+t0i3yg9ORVqHmptBnancdfxGiDvuVIv0oVG9fWys/tyPTkL1/HHvXlbV7rAb&#10;0+/TlOr5tdZSXl/NDxtg0c7xLwy/+IQOJTEd/YgmsE5CmmXkEiUskmRFE0XW6ZpsjhJuhQBeFvy/&#10;Q/kDAAD//wMAUEsBAi0AFAAGAAgAAAAhALaDOJL+AAAA4QEAABMAAAAAAAAAAAAAAAAAAAAAAFtD&#10;b250ZW50X1R5cGVzXS54bWxQSwECLQAUAAYACAAAACEAOP0h/9YAAACUAQAACwAAAAAAAAAAAAAA&#10;AAAvAQAAX3JlbHMvLnJlbHNQSwECLQAUAAYACAAAACEA/Q8acPkBAADUAwAADgAAAAAAAAAAAAAA&#10;AAAuAgAAZHJzL2Uyb0RvYy54bWxQSwECLQAUAAYACAAAACEASJsdhOEAAAALAQAADwAAAAAAAAAA&#10;AAAAAABTBAAAZHJzL2Rvd25yZXYueG1sUEsFBgAAAAAEAAQA8wAAAGEFAAAAAA==&#10;" filled="f" stroked="f">
              <v:textbo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6F58B87E" w:rsidR="00AF1D04" w:rsidRPr="00AF1D04" w:rsidRDefault="006314E9"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3-14-2025</w:t>
                    </w:r>
                  </w:p>
                </w:txbxContent>
              </v:textbox>
              <w10:wrap type="square"/>
            </v:shape>
          </w:pict>
        </mc:Fallback>
      </mc:AlternateContent>
    </w:r>
  </w:p>
  <w:p w14:paraId="6C2F9D84" w14:textId="0AAA33D7" w:rsidR="00AF1D04" w:rsidRDefault="00AF1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949E7"/>
    <w:multiLevelType w:val="multilevel"/>
    <w:tmpl w:val="E5245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0A6519"/>
    <w:multiLevelType w:val="hybridMultilevel"/>
    <w:tmpl w:val="74C65C4C"/>
    <w:lvl w:ilvl="0" w:tplc="6D34BE00">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77219"/>
    <w:multiLevelType w:val="hybridMultilevel"/>
    <w:tmpl w:val="DB3AE9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B9283C"/>
    <w:multiLevelType w:val="multilevel"/>
    <w:tmpl w:val="900ED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3415C4"/>
    <w:multiLevelType w:val="hybridMultilevel"/>
    <w:tmpl w:val="172A0B34"/>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 w15:restartNumberingAfterBreak="0">
    <w:nsid w:val="398C796E"/>
    <w:multiLevelType w:val="hybridMultilevel"/>
    <w:tmpl w:val="94F298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EF0BF6"/>
    <w:multiLevelType w:val="hybridMultilevel"/>
    <w:tmpl w:val="2C727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485413"/>
    <w:multiLevelType w:val="hybridMultilevel"/>
    <w:tmpl w:val="BB147322"/>
    <w:lvl w:ilvl="0" w:tplc="06900896">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D10F20"/>
    <w:multiLevelType w:val="hybridMultilevel"/>
    <w:tmpl w:val="0DAE49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2F40A5"/>
    <w:multiLevelType w:val="hybridMultilevel"/>
    <w:tmpl w:val="8C949E8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8FD6163"/>
    <w:multiLevelType w:val="hybridMultilevel"/>
    <w:tmpl w:val="15C69558"/>
    <w:lvl w:ilvl="0" w:tplc="CA84BE0A">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CF55B4"/>
    <w:multiLevelType w:val="hybridMultilevel"/>
    <w:tmpl w:val="9DEA7F86"/>
    <w:lvl w:ilvl="0" w:tplc="D832AB1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9F40DF"/>
    <w:multiLevelType w:val="hybridMultilevel"/>
    <w:tmpl w:val="E52A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273675"/>
    <w:multiLevelType w:val="multilevel"/>
    <w:tmpl w:val="05E4707C"/>
    <w:lvl w:ilvl="0">
      <w:start w:val="1"/>
      <w:numFmt w:val="decimal"/>
      <w:lvlText w:val="%1."/>
      <w:lvlJc w:val="left"/>
      <w:pPr>
        <w:ind w:left="720" w:hanging="360"/>
      </w:pPr>
      <w:rPr>
        <w:rFonts w:hint="default"/>
      </w:rPr>
    </w:lvl>
    <w:lvl w:ilvl="1">
      <w:start w:val="17"/>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69F6828"/>
    <w:multiLevelType w:val="hybridMultilevel"/>
    <w:tmpl w:val="0E6C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FC5E7F"/>
    <w:multiLevelType w:val="hybridMultilevel"/>
    <w:tmpl w:val="F398BA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0A2734"/>
    <w:multiLevelType w:val="hybridMultilevel"/>
    <w:tmpl w:val="5A8AE5CA"/>
    <w:lvl w:ilvl="0" w:tplc="04090003">
      <w:start w:val="1"/>
      <w:numFmt w:val="bullet"/>
      <w:lvlText w:val="o"/>
      <w:lvlJc w:val="left"/>
      <w:pPr>
        <w:ind w:left="1650" w:hanging="360"/>
      </w:pPr>
      <w:rPr>
        <w:rFonts w:ascii="Courier New" w:hAnsi="Courier New" w:cs="Courier New"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7" w15:restartNumberingAfterBreak="0">
    <w:nsid w:val="689913BA"/>
    <w:multiLevelType w:val="hybridMultilevel"/>
    <w:tmpl w:val="E36AFE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877556"/>
    <w:multiLevelType w:val="hybridMultilevel"/>
    <w:tmpl w:val="9C5E4C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700545"/>
    <w:multiLevelType w:val="hybridMultilevel"/>
    <w:tmpl w:val="5CD6F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4D346B"/>
    <w:multiLevelType w:val="multilevel"/>
    <w:tmpl w:val="6F520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23283610">
    <w:abstractNumId w:val="14"/>
  </w:num>
  <w:num w:numId="2" w16cid:durableId="1797331095">
    <w:abstractNumId w:val="8"/>
  </w:num>
  <w:num w:numId="3" w16cid:durableId="214856249">
    <w:abstractNumId w:val="11"/>
  </w:num>
  <w:num w:numId="4" w16cid:durableId="1499616861">
    <w:abstractNumId w:val="16"/>
  </w:num>
  <w:num w:numId="5" w16cid:durableId="2073769093">
    <w:abstractNumId w:val="0"/>
  </w:num>
  <w:num w:numId="6" w16cid:durableId="18362904">
    <w:abstractNumId w:val="19"/>
  </w:num>
  <w:num w:numId="7" w16cid:durableId="495341996">
    <w:abstractNumId w:val="20"/>
  </w:num>
  <w:num w:numId="8" w16cid:durableId="195433800">
    <w:abstractNumId w:val="2"/>
  </w:num>
  <w:num w:numId="9" w16cid:durableId="2131320421">
    <w:abstractNumId w:val="13"/>
  </w:num>
  <w:num w:numId="10" w16cid:durableId="292836173">
    <w:abstractNumId w:val="9"/>
  </w:num>
  <w:num w:numId="11" w16cid:durableId="590047722">
    <w:abstractNumId w:val="4"/>
  </w:num>
  <w:num w:numId="12" w16cid:durableId="1674527007">
    <w:abstractNumId w:val="7"/>
  </w:num>
  <w:num w:numId="13" w16cid:durableId="1073697651">
    <w:abstractNumId w:val="5"/>
  </w:num>
  <w:num w:numId="14" w16cid:durableId="1167403472">
    <w:abstractNumId w:val="15"/>
  </w:num>
  <w:num w:numId="15" w16cid:durableId="1282767395">
    <w:abstractNumId w:val="17"/>
  </w:num>
  <w:num w:numId="16" w16cid:durableId="974333673">
    <w:abstractNumId w:val="10"/>
  </w:num>
  <w:num w:numId="17" w16cid:durableId="364520162">
    <w:abstractNumId w:val="3"/>
  </w:num>
  <w:num w:numId="18" w16cid:durableId="1117332499">
    <w:abstractNumId w:val="6"/>
  </w:num>
  <w:num w:numId="19" w16cid:durableId="2132741991">
    <w:abstractNumId w:val="1"/>
  </w:num>
  <w:num w:numId="20" w16cid:durableId="928386627">
    <w:abstractNumId w:val="12"/>
  </w:num>
  <w:num w:numId="21" w16cid:durableId="8481754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1A"/>
    <w:rsid w:val="000075B0"/>
    <w:rsid w:val="000100DB"/>
    <w:rsid w:val="000274AF"/>
    <w:rsid w:val="00030458"/>
    <w:rsid w:val="000515B7"/>
    <w:rsid w:val="00087001"/>
    <w:rsid w:val="000B3E7D"/>
    <w:rsid w:val="000C779E"/>
    <w:rsid w:val="000D076B"/>
    <w:rsid w:val="000E1416"/>
    <w:rsid w:val="000E1C0E"/>
    <w:rsid w:val="000E1D7E"/>
    <w:rsid w:val="000F0E60"/>
    <w:rsid w:val="00127D68"/>
    <w:rsid w:val="0013326C"/>
    <w:rsid w:val="001421C6"/>
    <w:rsid w:val="00146993"/>
    <w:rsid w:val="00150443"/>
    <w:rsid w:val="00163839"/>
    <w:rsid w:val="001D7CF7"/>
    <w:rsid w:val="001E4D7A"/>
    <w:rsid w:val="001F79CB"/>
    <w:rsid w:val="001F7B3B"/>
    <w:rsid w:val="00203E6D"/>
    <w:rsid w:val="00222CB4"/>
    <w:rsid w:val="00224BA1"/>
    <w:rsid w:val="00237980"/>
    <w:rsid w:val="00241FDA"/>
    <w:rsid w:val="0028428E"/>
    <w:rsid w:val="00287C94"/>
    <w:rsid w:val="00297CF7"/>
    <w:rsid w:val="002C4EF4"/>
    <w:rsid w:val="002D62D7"/>
    <w:rsid w:val="002D7C3C"/>
    <w:rsid w:val="002E040A"/>
    <w:rsid w:val="002E7252"/>
    <w:rsid w:val="002F63D4"/>
    <w:rsid w:val="00351EFA"/>
    <w:rsid w:val="00360792"/>
    <w:rsid w:val="003759EE"/>
    <w:rsid w:val="00376639"/>
    <w:rsid w:val="00382170"/>
    <w:rsid w:val="003901BE"/>
    <w:rsid w:val="003C1F8E"/>
    <w:rsid w:val="003E4518"/>
    <w:rsid w:val="003F502F"/>
    <w:rsid w:val="00401797"/>
    <w:rsid w:val="0044731C"/>
    <w:rsid w:val="00455904"/>
    <w:rsid w:val="004602EE"/>
    <w:rsid w:val="0046659E"/>
    <w:rsid w:val="00470472"/>
    <w:rsid w:val="00473DF4"/>
    <w:rsid w:val="004B392F"/>
    <w:rsid w:val="004C13EF"/>
    <w:rsid w:val="004D30F0"/>
    <w:rsid w:val="004E119B"/>
    <w:rsid w:val="004E4D30"/>
    <w:rsid w:val="004F2B06"/>
    <w:rsid w:val="00510948"/>
    <w:rsid w:val="005413CA"/>
    <w:rsid w:val="005B0C97"/>
    <w:rsid w:val="005B62CA"/>
    <w:rsid w:val="005C4D3E"/>
    <w:rsid w:val="005C7FFC"/>
    <w:rsid w:val="005D6776"/>
    <w:rsid w:val="005D6984"/>
    <w:rsid w:val="005D6BC6"/>
    <w:rsid w:val="005E07CD"/>
    <w:rsid w:val="00605891"/>
    <w:rsid w:val="006314E9"/>
    <w:rsid w:val="00635134"/>
    <w:rsid w:val="006579A0"/>
    <w:rsid w:val="00661EAF"/>
    <w:rsid w:val="00667838"/>
    <w:rsid w:val="00677FE6"/>
    <w:rsid w:val="00690495"/>
    <w:rsid w:val="00696BE2"/>
    <w:rsid w:val="006A2E14"/>
    <w:rsid w:val="006A4AAE"/>
    <w:rsid w:val="006B5D91"/>
    <w:rsid w:val="006C07C0"/>
    <w:rsid w:val="006F5C70"/>
    <w:rsid w:val="00704744"/>
    <w:rsid w:val="0072009F"/>
    <w:rsid w:val="00746F3E"/>
    <w:rsid w:val="007808B0"/>
    <w:rsid w:val="007979EC"/>
    <w:rsid w:val="00797CA8"/>
    <w:rsid w:val="007A5F11"/>
    <w:rsid w:val="007A6255"/>
    <w:rsid w:val="007B6470"/>
    <w:rsid w:val="007D561F"/>
    <w:rsid w:val="007E404D"/>
    <w:rsid w:val="0080006B"/>
    <w:rsid w:val="00801E7A"/>
    <w:rsid w:val="0080562D"/>
    <w:rsid w:val="008118E4"/>
    <w:rsid w:val="00835F0C"/>
    <w:rsid w:val="00841364"/>
    <w:rsid w:val="00845AE3"/>
    <w:rsid w:val="00857F8D"/>
    <w:rsid w:val="00865EF2"/>
    <w:rsid w:val="00885E21"/>
    <w:rsid w:val="00887099"/>
    <w:rsid w:val="008877C2"/>
    <w:rsid w:val="0089296F"/>
    <w:rsid w:val="008B6E7F"/>
    <w:rsid w:val="008C610E"/>
    <w:rsid w:val="008D7F3F"/>
    <w:rsid w:val="00911DFE"/>
    <w:rsid w:val="00933F2D"/>
    <w:rsid w:val="00954AF8"/>
    <w:rsid w:val="0095692A"/>
    <w:rsid w:val="00964FC8"/>
    <w:rsid w:val="00986E5D"/>
    <w:rsid w:val="009A38E2"/>
    <w:rsid w:val="009C4C23"/>
    <w:rsid w:val="009C596C"/>
    <w:rsid w:val="00A02099"/>
    <w:rsid w:val="00A16F35"/>
    <w:rsid w:val="00A24223"/>
    <w:rsid w:val="00A32CD4"/>
    <w:rsid w:val="00A43DD3"/>
    <w:rsid w:val="00A7017F"/>
    <w:rsid w:val="00A7131E"/>
    <w:rsid w:val="00A771B2"/>
    <w:rsid w:val="00AA1566"/>
    <w:rsid w:val="00AA1C20"/>
    <w:rsid w:val="00AA2580"/>
    <w:rsid w:val="00AA7662"/>
    <w:rsid w:val="00AB049B"/>
    <w:rsid w:val="00AD38CC"/>
    <w:rsid w:val="00AD5757"/>
    <w:rsid w:val="00AF0A0E"/>
    <w:rsid w:val="00AF1D04"/>
    <w:rsid w:val="00B030DE"/>
    <w:rsid w:val="00B532FF"/>
    <w:rsid w:val="00B9544B"/>
    <w:rsid w:val="00BA4E87"/>
    <w:rsid w:val="00BB171E"/>
    <w:rsid w:val="00BB1FFD"/>
    <w:rsid w:val="00BD6DF2"/>
    <w:rsid w:val="00C0003F"/>
    <w:rsid w:val="00C03345"/>
    <w:rsid w:val="00C178DB"/>
    <w:rsid w:val="00C40160"/>
    <w:rsid w:val="00C608E4"/>
    <w:rsid w:val="00C735B1"/>
    <w:rsid w:val="00C76E1D"/>
    <w:rsid w:val="00C9480C"/>
    <w:rsid w:val="00CA04A0"/>
    <w:rsid w:val="00CA1E33"/>
    <w:rsid w:val="00CA2A1A"/>
    <w:rsid w:val="00CB0E90"/>
    <w:rsid w:val="00CC4229"/>
    <w:rsid w:val="00CD5DB1"/>
    <w:rsid w:val="00CE63EA"/>
    <w:rsid w:val="00CF49F1"/>
    <w:rsid w:val="00D3050B"/>
    <w:rsid w:val="00D5294C"/>
    <w:rsid w:val="00D60A33"/>
    <w:rsid w:val="00D71BC3"/>
    <w:rsid w:val="00D854A6"/>
    <w:rsid w:val="00DC4E11"/>
    <w:rsid w:val="00DF4E3A"/>
    <w:rsid w:val="00E145C6"/>
    <w:rsid w:val="00E210F1"/>
    <w:rsid w:val="00E62EB8"/>
    <w:rsid w:val="00E85572"/>
    <w:rsid w:val="00EA5B24"/>
    <w:rsid w:val="00EC4AA6"/>
    <w:rsid w:val="00EF4AB1"/>
    <w:rsid w:val="00F04D76"/>
    <w:rsid w:val="00F2265D"/>
    <w:rsid w:val="00F36B5F"/>
    <w:rsid w:val="00F375FF"/>
    <w:rsid w:val="00F5483A"/>
    <w:rsid w:val="00F610EE"/>
    <w:rsid w:val="00F77805"/>
    <w:rsid w:val="00FA7110"/>
    <w:rsid w:val="00FB6253"/>
    <w:rsid w:val="00FC0731"/>
    <w:rsid w:val="00FC5F7D"/>
    <w:rsid w:val="00FD5CC8"/>
    <w:rsid w:val="00FE4282"/>
    <w:rsid w:val="00FE58E5"/>
    <w:rsid w:val="00FF33FE"/>
    <w:rsid w:val="2CF68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61847"/>
  <w15:chartTrackingRefBased/>
  <w15:docId w15:val="{A05E083D-7CD0-485B-BFD3-4CE55C7C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D91"/>
  </w:style>
  <w:style w:type="paragraph" w:styleId="Heading1">
    <w:name w:val="heading 1"/>
    <w:basedOn w:val="Normal"/>
    <w:next w:val="Normal"/>
    <w:link w:val="Heading1Char"/>
    <w:uiPriority w:val="9"/>
    <w:qFormat/>
    <w:rsid w:val="006904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C61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BB1FFD"/>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BLUE">
    <w:name w:val="Masthead BLUE"/>
    <w:basedOn w:val="Normal"/>
    <w:qFormat/>
    <w:rsid w:val="00CA2A1A"/>
    <w:pPr>
      <w:widowControl w:val="0"/>
      <w:autoSpaceDE w:val="0"/>
      <w:autoSpaceDN w:val="0"/>
      <w:spacing w:before="241" w:after="0" w:line="269" w:lineRule="auto"/>
      <w:ind w:left="20"/>
    </w:pPr>
    <w:rPr>
      <w:rFonts w:asciiTheme="majorHAnsi" w:eastAsia="Franklin Gothic Book" w:hAnsiTheme="majorHAnsi" w:cs="Franklin Gothic Book"/>
      <w:color w:val="ED7D31" w:themeColor="accent2"/>
      <w:sz w:val="120"/>
      <w:lang w:bidi="en-US"/>
    </w:rPr>
  </w:style>
  <w:style w:type="table" w:styleId="TableGrid">
    <w:name w:val="Table Grid"/>
    <w:basedOn w:val="TableNormal"/>
    <w:uiPriority w:val="39"/>
    <w:rsid w:val="00CA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2A1A"/>
    <w:pPr>
      <w:widowControl w:val="0"/>
      <w:autoSpaceDE w:val="0"/>
      <w:autoSpaceDN w:val="0"/>
      <w:spacing w:before="240" w:after="0" w:line="269" w:lineRule="auto"/>
    </w:pPr>
    <w:rPr>
      <w:rFonts w:eastAsia="Franklin Gothic Book" w:cs="Franklin Gothic Book"/>
      <w:color w:val="171717" w:themeColor="background2" w:themeShade="1A"/>
      <w:lang w:bidi="en-US"/>
    </w:rPr>
  </w:style>
  <w:style w:type="character" w:customStyle="1" w:styleId="Heading3Char">
    <w:name w:val="Heading 3 Char"/>
    <w:basedOn w:val="DefaultParagraphFont"/>
    <w:link w:val="Heading3"/>
    <w:rsid w:val="00BB1FFD"/>
    <w:rPr>
      <w:rFonts w:ascii="Calibri Light" w:eastAsia="Times New Roman" w:hAnsi="Calibri Light" w:cs="Times New Roman"/>
      <w:b/>
      <w:bCs/>
      <w:sz w:val="26"/>
      <w:szCs w:val="26"/>
    </w:rPr>
  </w:style>
  <w:style w:type="character" w:styleId="Hyperlink">
    <w:name w:val="Hyperlink"/>
    <w:rsid w:val="00BB1FFD"/>
    <w:rPr>
      <w:color w:val="6666CC"/>
      <w:u w:val="single"/>
    </w:rPr>
  </w:style>
  <w:style w:type="character" w:styleId="Strong">
    <w:name w:val="Strong"/>
    <w:uiPriority w:val="22"/>
    <w:qFormat/>
    <w:rsid w:val="00BB1FFD"/>
    <w:rPr>
      <w:b/>
      <w:bCs/>
    </w:rPr>
  </w:style>
  <w:style w:type="paragraph" w:styleId="Header">
    <w:name w:val="header"/>
    <w:basedOn w:val="Normal"/>
    <w:link w:val="HeaderChar"/>
    <w:uiPriority w:val="99"/>
    <w:unhideWhenUsed/>
    <w:rsid w:val="00BB1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FFD"/>
  </w:style>
  <w:style w:type="paragraph" w:styleId="Footer">
    <w:name w:val="footer"/>
    <w:basedOn w:val="Normal"/>
    <w:link w:val="FooterChar"/>
    <w:unhideWhenUsed/>
    <w:rsid w:val="00BB1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FFD"/>
  </w:style>
  <w:style w:type="character" w:customStyle="1" w:styleId="Heading1Char">
    <w:name w:val="Heading 1 Char"/>
    <w:basedOn w:val="DefaultParagraphFont"/>
    <w:link w:val="Heading1"/>
    <w:uiPriority w:val="9"/>
    <w:rsid w:val="0069049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690495"/>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BD6DF2"/>
    <w:rPr>
      <w:color w:val="605E5C"/>
      <w:shd w:val="clear" w:color="auto" w:fill="E1DFDD"/>
    </w:rPr>
  </w:style>
  <w:style w:type="character" w:styleId="FollowedHyperlink">
    <w:name w:val="FollowedHyperlink"/>
    <w:basedOn w:val="DefaultParagraphFont"/>
    <w:uiPriority w:val="99"/>
    <w:semiHidden/>
    <w:unhideWhenUsed/>
    <w:rsid w:val="00BD6DF2"/>
    <w:rPr>
      <w:color w:val="954F72" w:themeColor="followedHyperlink"/>
      <w:u w:val="single"/>
    </w:rPr>
  </w:style>
  <w:style w:type="character" w:customStyle="1" w:styleId="Heading2Char">
    <w:name w:val="Heading 2 Char"/>
    <w:basedOn w:val="DefaultParagraphFont"/>
    <w:link w:val="Heading2"/>
    <w:uiPriority w:val="9"/>
    <w:semiHidden/>
    <w:rsid w:val="008C610E"/>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8C610E"/>
    <w:rPr>
      <w:i/>
      <w:iCs/>
    </w:rPr>
  </w:style>
  <w:style w:type="character" w:customStyle="1" w:styleId="id812">
    <w:name w:val="id812"/>
    <w:basedOn w:val="DefaultParagraphFont"/>
    <w:rsid w:val="008C610E"/>
  </w:style>
  <w:style w:type="paragraph" w:styleId="BodyText">
    <w:name w:val="Body Text"/>
    <w:basedOn w:val="Normal"/>
    <w:link w:val="BodyTextChar"/>
    <w:uiPriority w:val="1"/>
    <w:qFormat/>
    <w:rsid w:val="000E1D7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BodyTextChar">
    <w:name w:val="Body Text Char"/>
    <w:basedOn w:val="DefaultParagraphFont"/>
    <w:link w:val="BodyText"/>
    <w:uiPriority w:val="1"/>
    <w:rsid w:val="000E1D7E"/>
    <w:rPr>
      <w:rFonts w:ascii="Arial" w:eastAsia="Times New Roman" w:hAnsi="Arial" w:cs="Arial"/>
      <w:sz w:val="24"/>
      <w:szCs w:val="24"/>
    </w:rPr>
  </w:style>
  <w:style w:type="character" w:styleId="CommentReference">
    <w:name w:val="annotation reference"/>
    <w:basedOn w:val="DefaultParagraphFont"/>
    <w:uiPriority w:val="99"/>
    <w:semiHidden/>
    <w:unhideWhenUsed/>
    <w:rsid w:val="0089296F"/>
    <w:rPr>
      <w:sz w:val="16"/>
      <w:szCs w:val="16"/>
    </w:rPr>
  </w:style>
  <w:style w:type="paragraph" w:styleId="CommentText">
    <w:name w:val="annotation text"/>
    <w:basedOn w:val="Normal"/>
    <w:link w:val="CommentTextChar"/>
    <w:uiPriority w:val="99"/>
    <w:unhideWhenUsed/>
    <w:rsid w:val="0089296F"/>
    <w:pPr>
      <w:spacing w:line="240" w:lineRule="auto"/>
    </w:pPr>
    <w:rPr>
      <w:sz w:val="20"/>
      <w:szCs w:val="20"/>
    </w:rPr>
  </w:style>
  <w:style w:type="character" w:customStyle="1" w:styleId="CommentTextChar">
    <w:name w:val="Comment Text Char"/>
    <w:basedOn w:val="DefaultParagraphFont"/>
    <w:link w:val="CommentText"/>
    <w:uiPriority w:val="99"/>
    <w:rsid w:val="0089296F"/>
    <w:rPr>
      <w:sz w:val="20"/>
      <w:szCs w:val="20"/>
    </w:rPr>
  </w:style>
  <w:style w:type="paragraph" w:styleId="CommentSubject">
    <w:name w:val="annotation subject"/>
    <w:basedOn w:val="CommentText"/>
    <w:next w:val="CommentText"/>
    <w:link w:val="CommentSubjectChar"/>
    <w:uiPriority w:val="99"/>
    <w:semiHidden/>
    <w:unhideWhenUsed/>
    <w:rsid w:val="0089296F"/>
    <w:rPr>
      <w:b/>
      <w:bCs/>
    </w:rPr>
  </w:style>
  <w:style w:type="character" w:customStyle="1" w:styleId="CommentSubjectChar">
    <w:name w:val="Comment Subject Char"/>
    <w:basedOn w:val="CommentTextChar"/>
    <w:link w:val="CommentSubject"/>
    <w:uiPriority w:val="99"/>
    <w:semiHidden/>
    <w:rsid w:val="008929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687074">
      <w:bodyDiv w:val="1"/>
      <w:marLeft w:val="0"/>
      <w:marRight w:val="0"/>
      <w:marTop w:val="0"/>
      <w:marBottom w:val="0"/>
      <w:divBdr>
        <w:top w:val="none" w:sz="0" w:space="0" w:color="auto"/>
        <w:left w:val="none" w:sz="0" w:space="0" w:color="auto"/>
        <w:bottom w:val="none" w:sz="0" w:space="0" w:color="auto"/>
        <w:right w:val="none" w:sz="0" w:space="0" w:color="auto"/>
      </w:divBdr>
    </w:div>
    <w:div w:id="1075786843">
      <w:bodyDiv w:val="1"/>
      <w:marLeft w:val="0"/>
      <w:marRight w:val="0"/>
      <w:marTop w:val="0"/>
      <w:marBottom w:val="0"/>
      <w:divBdr>
        <w:top w:val="none" w:sz="0" w:space="0" w:color="auto"/>
        <w:left w:val="none" w:sz="0" w:space="0" w:color="auto"/>
        <w:bottom w:val="none" w:sz="0" w:space="0" w:color="auto"/>
        <w:right w:val="none" w:sz="0" w:space="0" w:color="auto"/>
      </w:divBdr>
    </w:div>
    <w:div w:id="1161896905">
      <w:bodyDiv w:val="1"/>
      <w:marLeft w:val="0"/>
      <w:marRight w:val="0"/>
      <w:marTop w:val="0"/>
      <w:marBottom w:val="0"/>
      <w:divBdr>
        <w:top w:val="none" w:sz="0" w:space="0" w:color="auto"/>
        <w:left w:val="none" w:sz="0" w:space="0" w:color="auto"/>
        <w:bottom w:val="none" w:sz="0" w:space="0" w:color="auto"/>
        <w:right w:val="none" w:sz="0" w:space="0" w:color="auto"/>
      </w:divBdr>
    </w:div>
    <w:div w:id="1271282220">
      <w:bodyDiv w:val="1"/>
      <w:marLeft w:val="0"/>
      <w:marRight w:val="0"/>
      <w:marTop w:val="0"/>
      <w:marBottom w:val="0"/>
      <w:divBdr>
        <w:top w:val="none" w:sz="0" w:space="0" w:color="auto"/>
        <w:left w:val="none" w:sz="0" w:space="0" w:color="auto"/>
        <w:bottom w:val="none" w:sz="0" w:space="0" w:color="auto"/>
        <w:right w:val="none" w:sz="0" w:space="0" w:color="auto"/>
      </w:divBdr>
    </w:div>
    <w:div w:id="1484545184">
      <w:bodyDiv w:val="1"/>
      <w:marLeft w:val="0"/>
      <w:marRight w:val="0"/>
      <w:marTop w:val="0"/>
      <w:marBottom w:val="0"/>
      <w:divBdr>
        <w:top w:val="none" w:sz="0" w:space="0" w:color="auto"/>
        <w:left w:val="none" w:sz="0" w:space="0" w:color="auto"/>
        <w:bottom w:val="none" w:sz="0" w:space="0" w:color="auto"/>
        <w:right w:val="none" w:sz="0" w:space="0" w:color="auto"/>
      </w:divBdr>
    </w:div>
    <w:div w:id="1540631820">
      <w:bodyDiv w:val="1"/>
      <w:marLeft w:val="0"/>
      <w:marRight w:val="0"/>
      <w:marTop w:val="0"/>
      <w:marBottom w:val="0"/>
      <w:divBdr>
        <w:top w:val="none" w:sz="0" w:space="0" w:color="auto"/>
        <w:left w:val="none" w:sz="0" w:space="0" w:color="auto"/>
        <w:bottom w:val="none" w:sz="0" w:space="0" w:color="auto"/>
        <w:right w:val="none" w:sz="0" w:space="0" w:color="auto"/>
      </w:divBdr>
    </w:div>
    <w:div w:id="170324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B94BC.166FCDB0" TargetMode="Externa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e5e15c-7478-4584-8e19-4e9362b2611b" xsi:nil="true"/>
    <lcf76f155ced4ddcb4097134ff3c332f xmlns="10bab484-3bb4-4afd-a6c1-5e011f67d8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2A67E8656AB841933B184C9B9D7B35" ma:contentTypeVersion="12" ma:contentTypeDescription="Create a new document." ma:contentTypeScope="" ma:versionID="fba7c633c5801542e2ada5cf3504703e">
  <xsd:schema xmlns:xsd="http://www.w3.org/2001/XMLSchema" xmlns:xs="http://www.w3.org/2001/XMLSchema" xmlns:p="http://schemas.microsoft.com/office/2006/metadata/properties" xmlns:ns2="10bab484-3bb4-4afd-a6c1-5e011f67d8b4" xmlns:ns3="62e5e15c-7478-4584-8e19-4e9362b2611b" targetNamespace="http://schemas.microsoft.com/office/2006/metadata/properties" ma:root="true" ma:fieldsID="5fd6ffecab7dda4307499910bc347722" ns2:_="" ns3:_="">
    <xsd:import namespace="10bab484-3bb4-4afd-a6c1-5e011f67d8b4"/>
    <xsd:import namespace="62e5e15c-7478-4584-8e19-4e9362b261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ab484-3bb4-4afd-a6c1-5e011f67d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8fe7c5-dfd2-445a-adb5-cb1f510ba2e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e5e15c-7478-4584-8e19-4e9362b261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1d3439-9ead-446c-a6a4-ea45e4ee9781}" ma:internalName="TaxCatchAll" ma:showField="CatchAllData" ma:web="62e5e15c-7478-4584-8e19-4e9362b261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BBDBFF-10E0-45DB-A88A-FCE54119ECE2}">
  <ds:schemaRefs>
    <ds:schemaRef ds:uri="http://schemas.microsoft.com/office/2006/metadata/properties"/>
    <ds:schemaRef ds:uri="http://schemas.microsoft.com/office/infopath/2007/PartnerControls"/>
    <ds:schemaRef ds:uri="62e5e15c-7478-4584-8e19-4e9362b2611b"/>
    <ds:schemaRef ds:uri="10bab484-3bb4-4afd-a6c1-5e011f67d8b4"/>
  </ds:schemaRefs>
</ds:datastoreItem>
</file>

<file path=customXml/itemProps2.xml><?xml version="1.0" encoding="utf-8"?>
<ds:datastoreItem xmlns:ds="http://schemas.openxmlformats.org/officeDocument/2006/customXml" ds:itemID="{15A61773-619F-4330-AB9A-FE94C29C00E1}">
  <ds:schemaRefs>
    <ds:schemaRef ds:uri="http://schemas.microsoft.com/sharepoint/v3/contenttype/forms"/>
  </ds:schemaRefs>
</ds:datastoreItem>
</file>

<file path=customXml/itemProps3.xml><?xml version="1.0" encoding="utf-8"?>
<ds:datastoreItem xmlns:ds="http://schemas.openxmlformats.org/officeDocument/2006/customXml" ds:itemID="{D7BBDFE7-34D8-487F-9737-5E30C305A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ab484-3bb4-4afd-a6c1-5e011f67d8b4"/>
    <ds:schemaRef ds:uri="62e5e15c-7478-4584-8e19-4e9362b261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5</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 Cate</dc:creator>
  <cp:keywords/>
  <dc:description/>
  <cp:lastModifiedBy>Flom, Kim</cp:lastModifiedBy>
  <cp:revision>102</cp:revision>
  <cp:lastPrinted>2023-04-13T19:37:00Z</cp:lastPrinted>
  <dcterms:created xsi:type="dcterms:W3CDTF">2025-03-12T22:07:00Z</dcterms:created>
  <dcterms:modified xsi:type="dcterms:W3CDTF">2025-03-14T14:33:00Z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0x010100492A67E8656AB841933B184C9B9D7B35</vt:lpwstr>
  </property>
  <property fmtid="{D5CDD505-2E9C-101B-9397-08002B2CF9AE}" pid="3" name="MediaServiceImageTags">
    <vt:lpwstr/>
  </property>
  <property fmtid="{D5CDD505-2E9C-101B-9397-08002B2CF9AE}" pid="4" name="MSIP_Label_aecce149-e41b-4002-a9ef-5f7c4ebd7945_Enabled">
    <vt:lpwstr>true</vt:lpwstr>
  </property>
  <property fmtid="{D5CDD505-2E9C-101B-9397-08002B2CF9AE}" pid="5" name="MSIP_Label_aecce149-e41b-4002-a9ef-5f7c4ebd7945_SetDate">
    <vt:lpwstr>2025-01-03T14:24:03Z</vt:lpwstr>
  </property>
  <property fmtid="{D5CDD505-2E9C-101B-9397-08002B2CF9AE}" pid="6" name="MSIP_Label_aecce149-e41b-4002-a9ef-5f7c4ebd7945_Method">
    <vt:lpwstr>Privileged</vt:lpwstr>
  </property>
  <property fmtid="{D5CDD505-2E9C-101B-9397-08002B2CF9AE}" pid="7" name="MSIP_Label_aecce149-e41b-4002-a9ef-5f7c4ebd7945_Name">
    <vt:lpwstr>Public</vt:lpwstr>
  </property>
  <property fmtid="{D5CDD505-2E9C-101B-9397-08002B2CF9AE}" pid="8" name="MSIP_Label_aecce149-e41b-4002-a9ef-5f7c4ebd7945_SiteId">
    <vt:lpwstr>f2cae92a-8892-4e20-96c4-6ad7ba8f0e72</vt:lpwstr>
  </property>
  <property fmtid="{D5CDD505-2E9C-101B-9397-08002B2CF9AE}" pid="9" name="MSIP_Label_aecce149-e41b-4002-a9ef-5f7c4ebd7945_ActionId">
    <vt:lpwstr>592b1ffe-63f3-477b-b410-9f3990e9c52f</vt:lpwstr>
  </property>
  <property fmtid="{D5CDD505-2E9C-101B-9397-08002B2CF9AE}" pid="10" name="MSIP_Label_aecce149-e41b-4002-a9ef-5f7c4ebd7945_ContentBits">
    <vt:lpwstr>0</vt:lpwstr>
  </property>
</Properties>
</file>