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809"/>
      </w:tblGrid>
      <w:tr w:rsidR="00CA04A0" w14:paraId="42600EA8" w14:textId="77777777" w:rsidTr="001B50AD">
        <w:trPr>
          <w:trHeight w:val="9330"/>
        </w:trPr>
        <w:tc>
          <w:tcPr>
            <w:tcW w:w="11809" w:type="dxa"/>
          </w:tcPr>
          <w:p w14:paraId="732E5D15" w14:textId="46884114" w:rsidR="0095317D" w:rsidRDefault="00C608E4" w:rsidP="00CA6191">
            <w:pPr>
              <w:spacing w:before="60" w:after="60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023BA9C7" w:rsidR="00C608E4" w:rsidRPr="00C608E4" w:rsidRDefault="00F30DA1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Denial, Termination, and Reductions (DTR)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pt;margin-top:4.5pt;width:564pt;height:3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1D4BA1CD" w14:textId="023BA9C7" w:rsidR="00C608E4" w:rsidRPr="00C608E4" w:rsidRDefault="00F30DA1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Denial, Termination, and Reductions (DTR)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317D">
              <w:rPr>
                <w:sz w:val="24"/>
                <w:szCs w:val="24"/>
              </w:rPr>
              <w:t xml:space="preserve">We realize we have updated </w:t>
            </w:r>
            <w:r w:rsidR="00B804C1">
              <w:rPr>
                <w:sz w:val="24"/>
                <w:szCs w:val="24"/>
              </w:rPr>
              <w:t xml:space="preserve">our DTR Decision Guide scenarios several times recently and appreciate your </w:t>
            </w:r>
            <w:r w:rsidR="00192C0A">
              <w:rPr>
                <w:sz w:val="24"/>
                <w:szCs w:val="24"/>
              </w:rPr>
              <w:t>patience</w:t>
            </w:r>
            <w:r w:rsidR="00752844">
              <w:rPr>
                <w:sz w:val="24"/>
                <w:szCs w:val="24"/>
              </w:rPr>
              <w:t>.</w:t>
            </w:r>
            <w:r w:rsidR="00192C0A">
              <w:rPr>
                <w:sz w:val="24"/>
                <w:szCs w:val="24"/>
              </w:rPr>
              <w:t xml:space="preserve"> </w:t>
            </w:r>
            <w:r w:rsidR="00752844">
              <w:rPr>
                <w:sz w:val="24"/>
                <w:szCs w:val="24"/>
              </w:rPr>
              <w:t>We are w</w:t>
            </w:r>
            <w:r w:rsidR="005D4946">
              <w:rPr>
                <w:sz w:val="24"/>
                <w:szCs w:val="24"/>
              </w:rPr>
              <w:t>orking with</w:t>
            </w:r>
            <w:r w:rsidR="00192C0A">
              <w:rPr>
                <w:sz w:val="24"/>
                <w:szCs w:val="24"/>
              </w:rPr>
              <w:t xml:space="preserve"> </w:t>
            </w:r>
            <w:r w:rsidR="00846DA8">
              <w:rPr>
                <w:sz w:val="24"/>
                <w:szCs w:val="24"/>
              </w:rPr>
              <w:t>our Utilization Management (</w:t>
            </w:r>
            <w:r w:rsidR="00192C0A">
              <w:rPr>
                <w:sz w:val="24"/>
                <w:szCs w:val="24"/>
              </w:rPr>
              <w:t>UM</w:t>
            </w:r>
            <w:r w:rsidR="00846DA8">
              <w:rPr>
                <w:sz w:val="24"/>
                <w:szCs w:val="24"/>
              </w:rPr>
              <w:t>)</w:t>
            </w:r>
            <w:r w:rsidR="00192C0A">
              <w:rPr>
                <w:sz w:val="24"/>
                <w:szCs w:val="24"/>
              </w:rPr>
              <w:t xml:space="preserve"> and Compliance</w:t>
            </w:r>
            <w:r w:rsidR="00846DA8">
              <w:rPr>
                <w:sz w:val="24"/>
                <w:szCs w:val="24"/>
              </w:rPr>
              <w:t xml:space="preserve"> teams</w:t>
            </w:r>
            <w:r w:rsidR="00192C0A">
              <w:rPr>
                <w:sz w:val="24"/>
                <w:szCs w:val="24"/>
              </w:rPr>
              <w:t xml:space="preserve"> to ensure we are meeting contractual</w:t>
            </w:r>
            <w:r w:rsidR="00D84A17">
              <w:rPr>
                <w:sz w:val="24"/>
                <w:szCs w:val="24"/>
              </w:rPr>
              <w:t xml:space="preserve"> and regulatory</w:t>
            </w:r>
            <w:r w:rsidR="00192C0A">
              <w:rPr>
                <w:sz w:val="24"/>
                <w:szCs w:val="24"/>
              </w:rPr>
              <w:t xml:space="preserve"> </w:t>
            </w:r>
            <w:r w:rsidR="00D84A17">
              <w:rPr>
                <w:sz w:val="24"/>
                <w:szCs w:val="24"/>
              </w:rPr>
              <w:t xml:space="preserve">requirements </w:t>
            </w:r>
            <w:r w:rsidR="00192C0A">
              <w:rPr>
                <w:sz w:val="24"/>
                <w:szCs w:val="24"/>
              </w:rPr>
              <w:t>regarding</w:t>
            </w:r>
            <w:r w:rsidR="00B66DDB">
              <w:rPr>
                <w:sz w:val="24"/>
                <w:szCs w:val="24"/>
              </w:rPr>
              <w:t xml:space="preserve"> DTR’s. </w:t>
            </w:r>
          </w:p>
          <w:p w14:paraId="5F6D9798" w14:textId="77777777" w:rsidR="0095317D" w:rsidRDefault="0095317D" w:rsidP="00CA6191">
            <w:pPr>
              <w:spacing w:before="60" w:after="60"/>
              <w:rPr>
                <w:sz w:val="24"/>
                <w:szCs w:val="24"/>
              </w:rPr>
            </w:pPr>
          </w:p>
          <w:p w14:paraId="4B7AF7F0" w14:textId="77777777" w:rsidR="000E1D30" w:rsidRDefault="00F30DA1" w:rsidP="001D46FA">
            <w:pPr>
              <w:spacing w:before="60" w:after="60"/>
              <w:rPr>
                <w:sz w:val="24"/>
                <w:szCs w:val="24"/>
              </w:rPr>
            </w:pPr>
            <w:r w:rsidRPr="00F30DA1">
              <w:rPr>
                <w:sz w:val="24"/>
                <w:szCs w:val="24"/>
              </w:rPr>
              <w:t>We have</w:t>
            </w:r>
            <w:r w:rsidR="00CA6191">
              <w:rPr>
                <w:sz w:val="24"/>
                <w:szCs w:val="24"/>
              </w:rPr>
              <w:t xml:space="preserve"> again</w:t>
            </w:r>
            <w:r w:rsidRPr="00F30DA1">
              <w:rPr>
                <w:sz w:val="24"/>
                <w:szCs w:val="24"/>
              </w:rPr>
              <w:t xml:space="preserve"> updated the Guidelines and the </w:t>
            </w:r>
            <w:hyperlink r:id="rId10" w:history="1">
              <w:r w:rsidRPr="00B66DDB">
                <w:rPr>
                  <w:rStyle w:val="Hyperlink"/>
                  <w:sz w:val="24"/>
                  <w:szCs w:val="24"/>
                </w:rPr>
                <w:t xml:space="preserve">Care Coordinator DTR Decision Guide </w:t>
              </w:r>
            </w:hyperlink>
            <w:r w:rsidR="00CA6191">
              <w:rPr>
                <w:sz w:val="24"/>
                <w:szCs w:val="24"/>
              </w:rPr>
              <w:t xml:space="preserve">to provide further DTR clarification </w:t>
            </w:r>
            <w:r w:rsidR="0038538D">
              <w:rPr>
                <w:sz w:val="24"/>
                <w:szCs w:val="24"/>
              </w:rPr>
              <w:t xml:space="preserve">and </w:t>
            </w:r>
            <w:r w:rsidR="0038538D" w:rsidRPr="0038538D">
              <w:rPr>
                <w:sz w:val="24"/>
                <w:szCs w:val="24"/>
              </w:rPr>
              <w:t>direction</w:t>
            </w:r>
            <w:r w:rsidR="00D37BC3">
              <w:rPr>
                <w:sz w:val="24"/>
                <w:szCs w:val="24"/>
              </w:rPr>
              <w:t xml:space="preserve">. </w:t>
            </w:r>
          </w:p>
          <w:p w14:paraId="1EB0EBD8" w14:textId="5D623864" w:rsidR="00703BAA" w:rsidRDefault="005425CC" w:rsidP="00703BA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4A5921">
              <w:rPr>
                <w:b/>
                <w:bCs/>
                <w:sz w:val="24"/>
                <w:szCs w:val="24"/>
              </w:rPr>
              <w:t>Provider Changes:</w:t>
            </w:r>
            <w:r>
              <w:rPr>
                <w:sz w:val="24"/>
                <w:szCs w:val="24"/>
              </w:rPr>
              <w:t xml:space="preserve"> </w:t>
            </w:r>
            <w:r w:rsidR="00D37BC3" w:rsidRPr="005425CC">
              <w:rPr>
                <w:sz w:val="24"/>
                <w:szCs w:val="24"/>
              </w:rPr>
              <w:t>Care Coordinators are</w:t>
            </w:r>
            <w:r w:rsidR="00D37BC3" w:rsidRPr="005425CC">
              <w:rPr>
                <w:b/>
                <w:bCs/>
                <w:sz w:val="24"/>
                <w:szCs w:val="24"/>
              </w:rPr>
              <w:t xml:space="preserve"> </w:t>
            </w:r>
            <w:r w:rsidR="00D37BC3" w:rsidRPr="005425CC">
              <w:rPr>
                <w:b/>
                <w:bCs/>
                <w:sz w:val="24"/>
                <w:szCs w:val="24"/>
                <w:u w:val="single"/>
              </w:rPr>
              <w:t>not required</w:t>
            </w:r>
            <w:r w:rsidR="00D37BC3" w:rsidRPr="005425CC">
              <w:rPr>
                <w:sz w:val="24"/>
                <w:szCs w:val="24"/>
              </w:rPr>
              <w:t xml:space="preserve"> to send a DTR when there is a change in service provider</w:t>
            </w:r>
            <w:r w:rsidR="0029558A">
              <w:rPr>
                <w:sz w:val="24"/>
                <w:szCs w:val="24"/>
              </w:rPr>
              <w:t xml:space="preserve"> but no change in</w:t>
            </w:r>
            <w:r w:rsidR="007F5FF9">
              <w:rPr>
                <w:sz w:val="24"/>
                <w:szCs w:val="24"/>
              </w:rPr>
              <w:t xml:space="preserve"> </w:t>
            </w:r>
            <w:r w:rsidR="0029558A">
              <w:rPr>
                <w:sz w:val="24"/>
                <w:szCs w:val="24"/>
              </w:rPr>
              <w:t>service, rate</w:t>
            </w:r>
            <w:r w:rsidR="007F5FF9">
              <w:rPr>
                <w:sz w:val="24"/>
                <w:szCs w:val="24"/>
              </w:rPr>
              <w:t xml:space="preserve">s, </w:t>
            </w:r>
            <w:r w:rsidR="00F36EC0">
              <w:rPr>
                <w:sz w:val="24"/>
                <w:szCs w:val="24"/>
              </w:rPr>
              <w:t xml:space="preserve">or </w:t>
            </w:r>
            <w:r w:rsidR="00FA53D9">
              <w:rPr>
                <w:sz w:val="24"/>
                <w:szCs w:val="24"/>
              </w:rPr>
              <w:t>units.</w:t>
            </w:r>
            <w:r w:rsidR="00D37BC3" w:rsidRPr="005425CC">
              <w:rPr>
                <w:sz w:val="24"/>
                <w:szCs w:val="24"/>
              </w:rPr>
              <w:t xml:space="preserve"> </w:t>
            </w:r>
          </w:p>
          <w:p w14:paraId="44E23689" w14:textId="1B937CE7" w:rsidR="000C12AB" w:rsidRPr="00E42769" w:rsidRDefault="003E60AC" w:rsidP="00E42769">
            <w:pPr>
              <w:pStyle w:val="ListParagraph"/>
              <w:numPr>
                <w:ilvl w:val="1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703BAA">
              <w:rPr>
                <w:sz w:val="24"/>
                <w:szCs w:val="24"/>
              </w:rPr>
              <w:t xml:space="preserve">Care Coordinator </w:t>
            </w:r>
            <w:r w:rsidR="001D46FA" w:rsidRPr="00703BAA">
              <w:rPr>
                <w:b/>
                <w:bCs/>
                <w:sz w:val="24"/>
                <w:szCs w:val="24"/>
                <w:u w:val="single"/>
              </w:rPr>
              <w:t>are</w:t>
            </w:r>
            <w:r w:rsidRPr="00703BAA">
              <w:rPr>
                <w:sz w:val="24"/>
                <w:szCs w:val="24"/>
              </w:rPr>
              <w:t xml:space="preserve"> required to notify the provider for which services are ending and case </w:t>
            </w:r>
            <w:r w:rsidR="00CD7553" w:rsidRPr="00703BAA">
              <w:rPr>
                <w:sz w:val="24"/>
                <w:szCs w:val="24"/>
              </w:rPr>
              <w:t>note the notification date</w:t>
            </w:r>
            <w:r w:rsidR="00C9469E" w:rsidRPr="00703BAA">
              <w:rPr>
                <w:sz w:val="24"/>
                <w:szCs w:val="24"/>
              </w:rPr>
              <w:t>.</w:t>
            </w:r>
            <w:r w:rsidR="00E42769">
              <w:rPr>
                <w:sz w:val="24"/>
                <w:szCs w:val="24"/>
              </w:rPr>
              <w:t xml:space="preserve"> This is important to </w:t>
            </w:r>
            <w:r w:rsidR="00B4782E" w:rsidRPr="00E42769">
              <w:rPr>
                <w:sz w:val="24"/>
                <w:szCs w:val="24"/>
              </w:rPr>
              <w:t xml:space="preserve">ensure </w:t>
            </w:r>
            <w:r w:rsidR="00DF71D4" w:rsidRPr="00E42769">
              <w:rPr>
                <w:sz w:val="24"/>
                <w:szCs w:val="24"/>
              </w:rPr>
              <w:t xml:space="preserve">that </w:t>
            </w:r>
            <w:r w:rsidR="00EB2C94">
              <w:rPr>
                <w:sz w:val="24"/>
                <w:szCs w:val="24"/>
              </w:rPr>
              <w:t xml:space="preserve">the </w:t>
            </w:r>
            <w:r w:rsidR="00E42769">
              <w:rPr>
                <w:sz w:val="24"/>
                <w:szCs w:val="24"/>
              </w:rPr>
              <w:t>former provider</w:t>
            </w:r>
            <w:r w:rsidR="00DF71D4" w:rsidRPr="00E42769">
              <w:rPr>
                <w:sz w:val="24"/>
                <w:szCs w:val="24"/>
              </w:rPr>
              <w:t xml:space="preserve"> do</w:t>
            </w:r>
            <w:r w:rsidR="00E42769">
              <w:rPr>
                <w:sz w:val="24"/>
                <w:szCs w:val="24"/>
              </w:rPr>
              <w:t>es</w:t>
            </w:r>
            <w:r w:rsidR="00DF71D4" w:rsidRPr="00E42769">
              <w:rPr>
                <w:sz w:val="24"/>
                <w:szCs w:val="24"/>
              </w:rPr>
              <w:t xml:space="preserve"> not continue to provide/bill for</w:t>
            </w:r>
            <w:r w:rsidR="00C90012" w:rsidRPr="00E42769">
              <w:rPr>
                <w:sz w:val="24"/>
                <w:szCs w:val="24"/>
              </w:rPr>
              <w:t xml:space="preserve"> services.</w:t>
            </w:r>
          </w:p>
          <w:p w14:paraId="06B8F841" w14:textId="1FBF8FBD" w:rsidR="002D42D9" w:rsidRDefault="00C30EB5" w:rsidP="000C12AB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</w:t>
            </w:r>
            <w:r w:rsidR="00794552">
              <w:rPr>
                <w:sz w:val="24"/>
                <w:szCs w:val="24"/>
              </w:rPr>
              <w:t xml:space="preserve">Bridgeview Service Agreement </w:t>
            </w:r>
            <w:r>
              <w:rPr>
                <w:sz w:val="24"/>
                <w:szCs w:val="24"/>
              </w:rPr>
              <w:t xml:space="preserve">end date for former provider to </w:t>
            </w:r>
            <w:r w:rsidR="00EB2C94">
              <w:rPr>
                <w:sz w:val="24"/>
                <w:szCs w:val="24"/>
              </w:rPr>
              <w:t xml:space="preserve">the </w:t>
            </w:r>
            <w:r w:rsidR="002D42D9">
              <w:rPr>
                <w:sz w:val="24"/>
                <w:szCs w:val="24"/>
              </w:rPr>
              <w:t>date of notification.</w:t>
            </w:r>
          </w:p>
          <w:p w14:paraId="512F6D30" w14:textId="35146D61" w:rsidR="002062CE" w:rsidRPr="00C90A13" w:rsidRDefault="00635226" w:rsidP="00C90A1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</w:t>
            </w:r>
            <w:r w:rsidR="002D42D9">
              <w:rPr>
                <w:sz w:val="24"/>
                <w:szCs w:val="24"/>
              </w:rPr>
              <w:t xml:space="preserve">Service Agreement for </w:t>
            </w:r>
            <w:r w:rsidR="008C7EFA">
              <w:rPr>
                <w:sz w:val="24"/>
                <w:szCs w:val="24"/>
              </w:rPr>
              <w:t xml:space="preserve">the </w:t>
            </w:r>
            <w:r w:rsidR="00272102">
              <w:rPr>
                <w:sz w:val="24"/>
                <w:szCs w:val="24"/>
              </w:rPr>
              <w:t>new provider starting the day after notificatio</w:t>
            </w:r>
            <w:r w:rsidR="00EF66AB">
              <w:rPr>
                <w:sz w:val="24"/>
                <w:szCs w:val="24"/>
              </w:rPr>
              <w:t xml:space="preserve">n, through the remainder of the </w:t>
            </w:r>
            <w:r w:rsidR="00C90A13">
              <w:rPr>
                <w:sz w:val="24"/>
                <w:szCs w:val="24"/>
              </w:rPr>
              <w:t>current span.</w:t>
            </w:r>
            <w:r w:rsidR="000C12AB" w:rsidRPr="000C12AB">
              <w:rPr>
                <w:sz w:val="24"/>
                <w:szCs w:val="24"/>
              </w:rPr>
              <w:t xml:space="preserve"> </w:t>
            </w:r>
          </w:p>
          <w:p w14:paraId="36E7C7CF" w14:textId="1A03141B" w:rsidR="00703BAA" w:rsidRDefault="00ED7190" w:rsidP="005425CC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4A5921">
              <w:rPr>
                <w:b/>
                <w:bCs/>
                <w:sz w:val="24"/>
                <w:szCs w:val="24"/>
              </w:rPr>
              <w:t>Services</w:t>
            </w:r>
            <w:r w:rsidR="00D63CF9">
              <w:rPr>
                <w:b/>
                <w:bCs/>
                <w:sz w:val="24"/>
                <w:szCs w:val="24"/>
              </w:rPr>
              <w:t xml:space="preserve"> denied, reduced, or terminating</w:t>
            </w:r>
            <w:r w:rsidRPr="004A5921">
              <w:rPr>
                <w:b/>
                <w:bCs/>
                <w:sz w:val="24"/>
                <w:szCs w:val="24"/>
              </w:rPr>
              <w:t xml:space="preserve"> a</w:t>
            </w:r>
            <w:r w:rsidR="00703BAA" w:rsidRPr="004A5921">
              <w:rPr>
                <w:b/>
                <w:bCs/>
                <w:sz w:val="24"/>
                <w:szCs w:val="24"/>
              </w:rPr>
              <w:t xml:space="preserve">t the end of </w:t>
            </w:r>
            <w:r w:rsidR="001B30C5">
              <w:rPr>
                <w:b/>
                <w:bCs/>
                <w:sz w:val="24"/>
                <w:szCs w:val="24"/>
              </w:rPr>
              <w:t xml:space="preserve">a </w:t>
            </w:r>
            <w:r w:rsidR="00703BAA" w:rsidRPr="004A5921">
              <w:rPr>
                <w:b/>
                <w:bCs/>
                <w:sz w:val="24"/>
                <w:szCs w:val="24"/>
              </w:rPr>
              <w:t>Waiver Span:</w:t>
            </w:r>
            <w:r w:rsidR="00703BAA">
              <w:rPr>
                <w:sz w:val="24"/>
                <w:szCs w:val="24"/>
              </w:rPr>
              <w:t xml:space="preserve"> </w:t>
            </w:r>
            <w:r w:rsidR="00265783" w:rsidRPr="005425CC">
              <w:rPr>
                <w:sz w:val="24"/>
                <w:szCs w:val="24"/>
              </w:rPr>
              <w:t xml:space="preserve">Care Coordinators may </w:t>
            </w:r>
            <w:r w:rsidR="00A8376F" w:rsidRPr="005425CC">
              <w:rPr>
                <w:sz w:val="24"/>
                <w:szCs w:val="24"/>
              </w:rPr>
              <w:t xml:space="preserve">proactively </w:t>
            </w:r>
            <w:r w:rsidR="00265783" w:rsidRPr="005425CC">
              <w:rPr>
                <w:sz w:val="24"/>
                <w:szCs w:val="24"/>
              </w:rPr>
              <w:t>send</w:t>
            </w:r>
            <w:r w:rsidR="008C21CD" w:rsidRPr="005425CC">
              <w:rPr>
                <w:sz w:val="24"/>
                <w:szCs w:val="24"/>
              </w:rPr>
              <w:t xml:space="preserve"> in </w:t>
            </w:r>
            <w:r w:rsidR="00703BAA">
              <w:rPr>
                <w:sz w:val="24"/>
                <w:szCs w:val="24"/>
              </w:rPr>
              <w:t xml:space="preserve">a </w:t>
            </w:r>
            <w:r w:rsidR="008C21CD" w:rsidRPr="005425CC">
              <w:rPr>
                <w:sz w:val="24"/>
                <w:szCs w:val="24"/>
              </w:rPr>
              <w:t>DTR w</w:t>
            </w:r>
            <w:r w:rsidR="00966B02" w:rsidRPr="005425CC">
              <w:rPr>
                <w:sz w:val="24"/>
                <w:szCs w:val="24"/>
              </w:rPr>
              <w:t xml:space="preserve">hen </w:t>
            </w:r>
            <w:r w:rsidR="00827799" w:rsidRPr="005425CC">
              <w:rPr>
                <w:sz w:val="24"/>
                <w:szCs w:val="24"/>
              </w:rPr>
              <w:t xml:space="preserve">it is known that </w:t>
            </w:r>
            <w:r w:rsidR="00966B02" w:rsidRPr="005425CC">
              <w:rPr>
                <w:sz w:val="24"/>
                <w:szCs w:val="24"/>
              </w:rPr>
              <w:t xml:space="preserve">services will be </w:t>
            </w:r>
            <w:r w:rsidR="001B30C5">
              <w:rPr>
                <w:sz w:val="24"/>
                <w:szCs w:val="24"/>
              </w:rPr>
              <w:t>denied, reduced, or terminated</w:t>
            </w:r>
            <w:r w:rsidR="00966B02" w:rsidRPr="005425CC">
              <w:rPr>
                <w:sz w:val="24"/>
                <w:szCs w:val="24"/>
              </w:rPr>
              <w:t xml:space="preserve"> at</w:t>
            </w:r>
            <w:r w:rsidR="00827799" w:rsidRPr="005425CC">
              <w:rPr>
                <w:sz w:val="24"/>
                <w:szCs w:val="24"/>
              </w:rPr>
              <w:t xml:space="preserve"> end of the waiver span</w:t>
            </w:r>
            <w:r w:rsidR="00C9469E" w:rsidRPr="005425CC">
              <w:rPr>
                <w:sz w:val="24"/>
                <w:szCs w:val="24"/>
              </w:rPr>
              <w:t xml:space="preserve">. </w:t>
            </w:r>
          </w:p>
          <w:p w14:paraId="58ACFE46" w14:textId="1B2A86C2" w:rsidR="00BA2871" w:rsidRDefault="001B30C5" w:rsidP="00703BAA">
            <w:pPr>
              <w:pStyle w:val="ListParagraph"/>
              <w:numPr>
                <w:ilvl w:val="1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DTR form should be submitted</w:t>
            </w:r>
            <w:r w:rsidR="000142F3">
              <w:rPr>
                <w:sz w:val="24"/>
                <w:szCs w:val="24"/>
              </w:rPr>
              <w:t xml:space="preserve"> </w:t>
            </w:r>
            <w:r w:rsidR="000142F3" w:rsidRPr="009379D2">
              <w:rPr>
                <w:b/>
                <w:bCs/>
                <w:sz w:val="24"/>
                <w:szCs w:val="24"/>
              </w:rPr>
              <w:t xml:space="preserve">at </w:t>
            </w:r>
            <w:r w:rsidR="00BA2871" w:rsidRPr="009379D2">
              <w:rPr>
                <w:b/>
                <w:bCs/>
                <w:sz w:val="24"/>
                <w:szCs w:val="24"/>
              </w:rPr>
              <w:t>minimum</w:t>
            </w:r>
            <w:r w:rsidR="001F467A" w:rsidRPr="005425CC">
              <w:rPr>
                <w:sz w:val="24"/>
                <w:szCs w:val="24"/>
              </w:rPr>
              <w:t xml:space="preserve"> 10 days prior to the waiver span end date</w:t>
            </w:r>
            <w:r w:rsidR="00F36C76">
              <w:rPr>
                <w:sz w:val="24"/>
                <w:szCs w:val="24"/>
              </w:rPr>
              <w:t xml:space="preserve"> to </w:t>
            </w:r>
            <w:r w:rsidR="00BA2871">
              <w:rPr>
                <w:sz w:val="24"/>
                <w:szCs w:val="24"/>
              </w:rPr>
              <w:t>avoid the 10-day notice going into the new span</w:t>
            </w:r>
            <w:r w:rsidR="00C9469E" w:rsidRPr="005425CC">
              <w:rPr>
                <w:sz w:val="24"/>
                <w:szCs w:val="24"/>
              </w:rPr>
              <w:t xml:space="preserve">. </w:t>
            </w:r>
          </w:p>
          <w:p w14:paraId="4A8976DB" w14:textId="1B9F0F6C" w:rsidR="0034167A" w:rsidRDefault="001F467A" w:rsidP="0081541A">
            <w:pPr>
              <w:pStyle w:val="ListParagraph"/>
              <w:numPr>
                <w:ilvl w:val="1"/>
                <w:numId w:val="2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5425CC">
              <w:rPr>
                <w:sz w:val="24"/>
                <w:szCs w:val="24"/>
              </w:rPr>
              <w:t>C</w:t>
            </w:r>
            <w:r w:rsidR="00BA2871">
              <w:rPr>
                <w:sz w:val="24"/>
                <w:szCs w:val="24"/>
              </w:rPr>
              <w:t xml:space="preserve">are Coordinators </w:t>
            </w:r>
            <w:r w:rsidRPr="005425CC">
              <w:rPr>
                <w:sz w:val="24"/>
                <w:szCs w:val="24"/>
              </w:rPr>
              <w:t>must no</w:t>
            </w:r>
            <w:r w:rsidR="00812789" w:rsidRPr="005425CC">
              <w:rPr>
                <w:sz w:val="24"/>
                <w:szCs w:val="24"/>
              </w:rPr>
              <w:t>te</w:t>
            </w:r>
            <w:r w:rsidR="00235734">
              <w:rPr>
                <w:sz w:val="24"/>
                <w:szCs w:val="24"/>
              </w:rPr>
              <w:t xml:space="preserve"> on the DTR</w:t>
            </w:r>
            <w:r w:rsidR="00812789" w:rsidRPr="005425CC">
              <w:rPr>
                <w:sz w:val="24"/>
                <w:szCs w:val="24"/>
              </w:rPr>
              <w:t xml:space="preserve"> </w:t>
            </w:r>
            <w:r w:rsidR="00633C7B">
              <w:rPr>
                <w:sz w:val="24"/>
                <w:szCs w:val="24"/>
              </w:rPr>
              <w:t xml:space="preserve">comment section </w:t>
            </w:r>
            <w:r w:rsidR="001B30C5">
              <w:rPr>
                <w:sz w:val="24"/>
                <w:szCs w:val="24"/>
              </w:rPr>
              <w:t>th</w:t>
            </w:r>
            <w:r w:rsidR="00BE5416">
              <w:rPr>
                <w:sz w:val="24"/>
                <w:szCs w:val="24"/>
              </w:rPr>
              <w:t xml:space="preserve">at </w:t>
            </w:r>
            <w:r w:rsidR="00E546BC">
              <w:rPr>
                <w:sz w:val="24"/>
                <w:szCs w:val="24"/>
              </w:rPr>
              <w:t xml:space="preserve">the </w:t>
            </w:r>
            <w:r w:rsidR="001326E2">
              <w:rPr>
                <w:sz w:val="24"/>
                <w:szCs w:val="24"/>
              </w:rPr>
              <w:t xml:space="preserve">last date of </w:t>
            </w:r>
            <w:r w:rsidR="00B532E6">
              <w:rPr>
                <w:sz w:val="24"/>
                <w:szCs w:val="24"/>
              </w:rPr>
              <w:t>current service(s)</w:t>
            </w:r>
            <w:r w:rsidR="00A1656C">
              <w:rPr>
                <w:sz w:val="24"/>
                <w:szCs w:val="24"/>
              </w:rPr>
              <w:t xml:space="preserve"> </w:t>
            </w:r>
            <w:r w:rsidR="006C67A0">
              <w:rPr>
                <w:sz w:val="24"/>
                <w:szCs w:val="24"/>
              </w:rPr>
              <w:t xml:space="preserve">is the end date of current </w:t>
            </w:r>
            <w:r w:rsidR="005E5F07">
              <w:rPr>
                <w:sz w:val="24"/>
                <w:szCs w:val="24"/>
              </w:rPr>
              <w:t>span and</w:t>
            </w:r>
            <w:r w:rsidR="00BE548E">
              <w:rPr>
                <w:sz w:val="24"/>
                <w:szCs w:val="24"/>
              </w:rPr>
              <w:t xml:space="preserve"> note this date</w:t>
            </w:r>
            <w:r w:rsidR="00C05006" w:rsidRPr="005425CC">
              <w:rPr>
                <w:sz w:val="24"/>
                <w:szCs w:val="24"/>
              </w:rPr>
              <w:t>.</w:t>
            </w:r>
          </w:p>
          <w:p w14:paraId="28A4177A" w14:textId="49FE8624" w:rsidR="00F30DA1" w:rsidRPr="0081541A" w:rsidRDefault="0034167A" w:rsidP="00356F65">
            <w:pPr>
              <w:pStyle w:val="ListParagraph"/>
              <w:spacing w:before="60" w:after="60" w:line="240" w:lineRule="auto"/>
              <w:ind w:left="1440"/>
              <w:rPr>
                <w:sz w:val="24"/>
                <w:szCs w:val="24"/>
              </w:rPr>
            </w:pPr>
            <w:r w:rsidRPr="00773116">
              <w:rPr>
                <w:b/>
                <w:bCs/>
                <w:sz w:val="24"/>
                <w:szCs w:val="24"/>
              </w:rPr>
              <w:t>Example:</w:t>
            </w:r>
            <w:r>
              <w:rPr>
                <w:sz w:val="24"/>
                <w:szCs w:val="24"/>
              </w:rPr>
              <w:t xml:space="preserve"> Reassessment</w:t>
            </w:r>
            <w:r w:rsidR="001D5E9C">
              <w:rPr>
                <w:sz w:val="24"/>
                <w:szCs w:val="24"/>
              </w:rPr>
              <w:t xml:space="preserve"> was</w:t>
            </w:r>
            <w:r>
              <w:rPr>
                <w:sz w:val="24"/>
                <w:szCs w:val="24"/>
              </w:rPr>
              <w:t xml:space="preserve"> completed on 12/02/2024 for a new span start date of 1/1/2025.</w:t>
            </w:r>
            <w:r w:rsidR="00B32A7A">
              <w:rPr>
                <w:sz w:val="24"/>
                <w:szCs w:val="24"/>
              </w:rPr>
              <w:t xml:space="preserve"> Member </w:t>
            </w:r>
            <w:r w:rsidR="00BE548E">
              <w:rPr>
                <w:sz w:val="24"/>
                <w:szCs w:val="24"/>
              </w:rPr>
              <w:t xml:space="preserve">decided to </w:t>
            </w:r>
            <w:r w:rsidR="0093727D">
              <w:rPr>
                <w:sz w:val="24"/>
                <w:szCs w:val="24"/>
              </w:rPr>
              <w:t>end current services and start on CDCS</w:t>
            </w:r>
            <w:r w:rsidR="00D21DB8">
              <w:rPr>
                <w:sz w:val="24"/>
                <w:szCs w:val="24"/>
              </w:rPr>
              <w:t xml:space="preserve"> 1/1/2025. Care Coordinator sends in </w:t>
            </w:r>
            <w:r w:rsidR="00924335">
              <w:rPr>
                <w:sz w:val="24"/>
                <w:szCs w:val="24"/>
              </w:rPr>
              <w:t xml:space="preserve">a </w:t>
            </w:r>
            <w:r w:rsidR="00D21DB8">
              <w:rPr>
                <w:sz w:val="24"/>
                <w:szCs w:val="24"/>
              </w:rPr>
              <w:t>DTR at least 10 days prior to 12/31/2024</w:t>
            </w:r>
            <w:r w:rsidR="005D2A56">
              <w:rPr>
                <w:sz w:val="24"/>
                <w:szCs w:val="24"/>
              </w:rPr>
              <w:t xml:space="preserve"> (end date of current span</w:t>
            </w:r>
            <w:r w:rsidR="005E5F07">
              <w:rPr>
                <w:sz w:val="24"/>
                <w:szCs w:val="24"/>
              </w:rPr>
              <w:t xml:space="preserve">), indicating </w:t>
            </w:r>
            <w:r w:rsidR="0093727D">
              <w:rPr>
                <w:sz w:val="24"/>
                <w:szCs w:val="24"/>
              </w:rPr>
              <w:t xml:space="preserve">that </w:t>
            </w:r>
            <w:r w:rsidR="00624006">
              <w:rPr>
                <w:sz w:val="24"/>
                <w:szCs w:val="24"/>
              </w:rPr>
              <w:t>the last date of services will be</w:t>
            </w:r>
            <w:r w:rsidR="00451452">
              <w:rPr>
                <w:sz w:val="24"/>
                <w:szCs w:val="24"/>
              </w:rPr>
              <w:t xml:space="preserve"> </w:t>
            </w:r>
            <w:r w:rsidR="00624006">
              <w:rPr>
                <w:sz w:val="24"/>
                <w:szCs w:val="24"/>
              </w:rPr>
              <w:t>12/31/2024</w:t>
            </w:r>
            <w:r w:rsidR="00090C96">
              <w:rPr>
                <w:sz w:val="24"/>
                <w:szCs w:val="24"/>
              </w:rPr>
              <w:t>.</w:t>
            </w:r>
          </w:p>
          <w:p w14:paraId="333EDBF7" w14:textId="0FF514EC" w:rsidR="000736FD" w:rsidRDefault="001B50AD" w:rsidP="00D02150">
            <w:pPr>
              <w:jc w:val="center"/>
            </w:pPr>
            <w:r w:rsidRPr="001B50AD">
              <w:rPr>
                <w:noProof/>
              </w:rPr>
              <w:lastRenderedPageBreak/>
              <w:drawing>
                <wp:inline distT="0" distB="0" distL="0" distR="0" wp14:anchorId="68F308E3" wp14:editId="370F4386">
                  <wp:extent cx="6937169" cy="550550"/>
                  <wp:effectExtent l="133350" t="76200" r="130810" b="78105"/>
                  <wp:docPr id="129214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476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847" cy="555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EB0BA5" w14:textId="77777777" w:rsidR="00D02150" w:rsidRDefault="00D02150" w:rsidP="00D02150">
            <w:pPr>
              <w:jc w:val="center"/>
            </w:pPr>
          </w:p>
          <w:p w14:paraId="48E3BAB9" w14:textId="2DB50A27" w:rsidR="00F30DA1" w:rsidRDefault="00A034A0" w:rsidP="00CA04A0">
            <w:r>
              <w:t>The</w:t>
            </w:r>
            <w:r w:rsidR="00EF3981">
              <w:t xml:space="preserve"> updated</w:t>
            </w:r>
            <w:r>
              <w:t xml:space="preserve"> DTR decision guide</w:t>
            </w:r>
            <w:r w:rsidR="00D02150">
              <w:t>, which includes all recent changes,</w:t>
            </w:r>
            <w:r>
              <w:t xml:space="preserve"> can be found </w:t>
            </w:r>
            <w:r w:rsidR="00EF3981">
              <w:t>on the</w:t>
            </w:r>
            <w:r>
              <w:t xml:space="preserve"> </w:t>
            </w:r>
            <w:hyperlink r:id="rId12" w:history="1">
              <w:r w:rsidRPr="00EF3981">
                <w:rPr>
                  <w:rStyle w:val="Hyperlink"/>
                </w:rPr>
                <w:t>Care Coordination page</w:t>
              </w:r>
            </w:hyperlink>
            <w:r>
              <w:t xml:space="preserve"> of the CC website:</w:t>
            </w:r>
          </w:p>
          <w:p w14:paraId="53A3683F" w14:textId="788FA9A2" w:rsidR="00F30DA1" w:rsidRDefault="00332253" w:rsidP="003322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6BA995" wp14:editId="24CC1E12">
                  <wp:extent cx="4823361" cy="1014529"/>
                  <wp:effectExtent l="114300" t="76200" r="92075" b="71755"/>
                  <wp:docPr id="8578896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8964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181" cy="1017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80684B" w14:textId="77777777" w:rsidR="00D02150" w:rsidRDefault="00D02150" w:rsidP="00CA04A0"/>
          <w:p w14:paraId="3553041B" w14:textId="15533E0E" w:rsidR="00CA04A0" w:rsidRDefault="00F30DA1" w:rsidP="00CA04A0">
            <w:r>
              <w:t>If you have any questions, please contact your Partner Relations Consultant.</w:t>
            </w:r>
          </w:p>
          <w:p w14:paraId="5B40072C" w14:textId="69DA4E9F" w:rsidR="00CA04A0" w:rsidRDefault="00F30DA1" w:rsidP="00F30DA1">
            <w:r>
              <w:t>Thank you.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4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F5577" w14:textId="77777777" w:rsidR="00E73FFA" w:rsidRDefault="00E73FFA" w:rsidP="00BB1FFD">
      <w:pPr>
        <w:spacing w:after="0" w:line="240" w:lineRule="auto"/>
      </w:pPr>
      <w:r>
        <w:separator/>
      </w:r>
    </w:p>
  </w:endnote>
  <w:endnote w:type="continuationSeparator" w:id="0">
    <w:p w14:paraId="5CB3C9C0" w14:textId="77777777" w:rsidR="00E73FFA" w:rsidRDefault="00E73FFA" w:rsidP="00BB1FFD">
      <w:pPr>
        <w:spacing w:after="0" w:line="240" w:lineRule="auto"/>
      </w:pPr>
      <w:r>
        <w:continuationSeparator/>
      </w:r>
    </w:p>
  </w:endnote>
  <w:endnote w:type="continuationNotice" w:id="1">
    <w:p w14:paraId="25106802" w14:textId="77777777" w:rsidR="00E73FFA" w:rsidRDefault="00E73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2213" w14:textId="77777777" w:rsidR="00E73FFA" w:rsidRDefault="00E73FFA" w:rsidP="00BB1FFD">
      <w:pPr>
        <w:spacing w:after="0" w:line="240" w:lineRule="auto"/>
      </w:pPr>
      <w:r>
        <w:separator/>
      </w:r>
    </w:p>
  </w:footnote>
  <w:footnote w:type="continuationSeparator" w:id="0">
    <w:p w14:paraId="35A853B4" w14:textId="77777777" w:rsidR="00E73FFA" w:rsidRDefault="00E73FFA" w:rsidP="00BB1FFD">
      <w:pPr>
        <w:spacing w:after="0" w:line="240" w:lineRule="auto"/>
      </w:pPr>
      <w:r>
        <w:continuationSeparator/>
      </w:r>
    </w:p>
  </w:footnote>
  <w:footnote w:type="continuationNotice" w:id="1">
    <w:p w14:paraId="31B1E4C0" w14:textId="77777777" w:rsidR="00E73FFA" w:rsidRDefault="00E73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8240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A63CD7D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146CABD" w:rsidR="00AF1D04" w:rsidRPr="00AF1D04" w:rsidRDefault="00F30DA1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D32D9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2-20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146CABD" w:rsidR="00AF1D04" w:rsidRPr="00AF1D04" w:rsidRDefault="00F30DA1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D32D9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2-20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84E"/>
    <w:multiLevelType w:val="hybridMultilevel"/>
    <w:tmpl w:val="0F00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527C"/>
    <w:multiLevelType w:val="hybridMultilevel"/>
    <w:tmpl w:val="3DD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7E2"/>
    <w:multiLevelType w:val="hybridMultilevel"/>
    <w:tmpl w:val="7EB6AE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4602"/>
    <w:multiLevelType w:val="hybridMultilevel"/>
    <w:tmpl w:val="F828D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4"/>
  </w:num>
  <w:num w:numId="2" w16cid:durableId="1797331095">
    <w:abstractNumId w:val="9"/>
  </w:num>
  <w:num w:numId="3" w16cid:durableId="214856249">
    <w:abstractNumId w:val="12"/>
  </w:num>
  <w:num w:numId="4" w16cid:durableId="1499616861">
    <w:abstractNumId w:val="16"/>
  </w:num>
  <w:num w:numId="5" w16cid:durableId="2073769093">
    <w:abstractNumId w:val="1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4"/>
  </w:num>
  <w:num w:numId="9" w16cid:durableId="2131320421">
    <w:abstractNumId w:val="13"/>
  </w:num>
  <w:num w:numId="10" w16cid:durableId="292836173">
    <w:abstractNumId w:val="10"/>
  </w:num>
  <w:num w:numId="11" w16cid:durableId="590047722">
    <w:abstractNumId w:val="6"/>
  </w:num>
  <w:num w:numId="12" w16cid:durableId="1674527007">
    <w:abstractNumId w:val="8"/>
  </w:num>
  <w:num w:numId="13" w16cid:durableId="1073697651">
    <w:abstractNumId w:val="7"/>
  </w:num>
  <w:num w:numId="14" w16cid:durableId="1167403472">
    <w:abstractNumId w:val="15"/>
  </w:num>
  <w:num w:numId="15" w16cid:durableId="1282767395">
    <w:abstractNumId w:val="17"/>
  </w:num>
  <w:num w:numId="16" w16cid:durableId="974333673">
    <w:abstractNumId w:val="11"/>
  </w:num>
  <w:num w:numId="17" w16cid:durableId="1545874558">
    <w:abstractNumId w:val="2"/>
  </w:num>
  <w:num w:numId="18" w16cid:durableId="1609392425">
    <w:abstractNumId w:val="3"/>
  </w:num>
  <w:num w:numId="19" w16cid:durableId="955481926">
    <w:abstractNumId w:val="5"/>
  </w:num>
  <w:num w:numId="20" w16cid:durableId="201977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142F3"/>
    <w:rsid w:val="000274AF"/>
    <w:rsid w:val="0003629A"/>
    <w:rsid w:val="00042139"/>
    <w:rsid w:val="000736FD"/>
    <w:rsid w:val="00075414"/>
    <w:rsid w:val="00081F67"/>
    <w:rsid w:val="00090C96"/>
    <w:rsid w:val="000A0035"/>
    <w:rsid w:val="000A570C"/>
    <w:rsid w:val="000C12AB"/>
    <w:rsid w:val="000C2865"/>
    <w:rsid w:val="000E1D30"/>
    <w:rsid w:val="000F7F0C"/>
    <w:rsid w:val="001326E2"/>
    <w:rsid w:val="00150443"/>
    <w:rsid w:val="00192C0A"/>
    <w:rsid w:val="001B30C5"/>
    <w:rsid w:val="001B3A65"/>
    <w:rsid w:val="001B50AD"/>
    <w:rsid w:val="001D46FA"/>
    <w:rsid w:val="001D5E9C"/>
    <w:rsid w:val="001F467A"/>
    <w:rsid w:val="002039B9"/>
    <w:rsid w:val="002062CE"/>
    <w:rsid w:val="00222CB4"/>
    <w:rsid w:val="00235734"/>
    <w:rsid w:val="00252112"/>
    <w:rsid w:val="00265783"/>
    <w:rsid w:val="00272102"/>
    <w:rsid w:val="00276EF4"/>
    <w:rsid w:val="00287C94"/>
    <w:rsid w:val="00292E9E"/>
    <w:rsid w:val="0029558A"/>
    <w:rsid w:val="002B0D13"/>
    <w:rsid w:val="002C0DD1"/>
    <w:rsid w:val="002D42D9"/>
    <w:rsid w:val="002E7252"/>
    <w:rsid w:val="00332253"/>
    <w:rsid w:val="0034167A"/>
    <w:rsid w:val="00341BEB"/>
    <w:rsid w:val="00356F65"/>
    <w:rsid w:val="00384245"/>
    <w:rsid w:val="0038538D"/>
    <w:rsid w:val="00397504"/>
    <w:rsid w:val="003C1F8E"/>
    <w:rsid w:val="003E60AC"/>
    <w:rsid w:val="003E71C8"/>
    <w:rsid w:val="003F429F"/>
    <w:rsid w:val="003F7329"/>
    <w:rsid w:val="004241AF"/>
    <w:rsid w:val="00441D9F"/>
    <w:rsid w:val="00451452"/>
    <w:rsid w:val="00457ABF"/>
    <w:rsid w:val="00460684"/>
    <w:rsid w:val="004975B5"/>
    <w:rsid w:val="004A5921"/>
    <w:rsid w:val="004B3776"/>
    <w:rsid w:val="004B76DD"/>
    <w:rsid w:val="004C1DDD"/>
    <w:rsid w:val="004D30F0"/>
    <w:rsid w:val="004D7BBB"/>
    <w:rsid w:val="00501D36"/>
    <w:rsid w:val="005413CA"/>
    <w:rsid w:val="005425CC"/>
    <w:rsid w:val="00544DD3"/>
    <w:rsid w:val="0054604B"/>
    <w:rsid w:val="0059510B"/>
    <w:rsid w:val="00595ED3"/>
    <w:rsid w:val="005B1ABF"/>
    <w:rsid w:val="005B29C3"/>
    <w:rsid w:val="005B50B0"/>
    <w:rsid w:val="005B6493"/>
    <w:rsid w:val="005B7418"/>
    <w:rsid w:val="005C7FFC"/>
    <w:rsid w:val="005D2A56"/>
    <w:rsid w:val="005D4946"/>
    <w:rsid w:val="005E07CD"/>
    <w:rsid w:val="005E5F07"/>
    <w:rsid w:val="00605891"/>
    <w:rsid w:val="0062273F"/>
    <w:rsid w:val="00623D02"/>
    <w:rsid w:val="00623D1B"/>
    <w:rsid w:val="00624006"/>
    <w:rsid w:val="00633C7B"/>
    <w:rsid w:val="00635226"/>
    <w:rsid w:val="00643E36"/>
    <w:rsid w:val="00661EAF"/>
    <w:rsid w:val="00662566"/>
    <w:rsid w:val="00667838"/>
    <w:rsid w:val="0068681D"/>
    <w:rsid w:val="00690495"/>
    <w:rsid w:val="00696BE2"/>
    <w:rsid w:val="006A0F06"/>
    <w:rsid w:val="006B5D91"/>
    <w:rsid w:val="006C67A0"/>
    <w:rsid w:val="006D36C2"/>
    <w:rsid w:val="00703BAA"/>
    <w:rsid w:val="00725264"/>
    <w:rsid w:val="00733D5D"/>
    <w:rsid w:val="00743142"/>
    <w:rsid w:val="00746020"/>
    <w:rsid w:val="00752844"/>
    <w:rsid w:val="00773116"/>
    <w:rsid w:val="007759F8"/>
    <w:rsid w:val="007808B0"/>
    <w:rsid w:val="007914AF"/>
    <w:rsid w:val="00794552"/>
    <w:rsid w:val="007A5F11"/>
    <w:rsid w:val="007B0700"/>
    <w:rsid w:val="007D2030"/>
    <w:rsid w:val="007F5FF9"/>
    <w:rsid w:val="0080562D"/>
    <w:rsid w:val="00812789"/>
    <w:rsid w:val="0081541A"/>
    <w:rsid w:val="00827799"/>
    <w:rsid w:val="008426E7"/>
    <w:rsid w:val="00842C24"/>
    <w:rsid w:val="00846DA8"/>
    <w:rsid w:val="00887099"/>
    <w:rsid w:val="008877C2"/>
    <w:rsid w:val="0089548F"/>
    <w:rsid w:val="008C21CD"/>
    <w:rsid w:val="008C7EFA"/>
    <w:rsid w:val="008D3016"/>
    <w:rsid w:val="008F6DCD"/>
    <w:rsid w:val="00924335"/>
    <w:rsid w:val="0093727D"/>
    <w:rsid w:val="009379D2"/>
    <w:rsid w:val="00950181"/>
    <w:rsid w:val="0095317D"/>
    <w:rsid w:val="00954AF8"/>
    <w:rsid w:val="00966B02"/>
    <w:rsid w:val="009844E4"/>
    <w:rsid w:val="00986E5D"/>
    <w:rsid w:val="0099304E"/>
    <w:rsid w:val="009B0916"/>
    <w:rsid w:val="009C69D7"/>
    <w:rsid w:val="009D6FFC"/>
    <w:rsid w:val="00A01070"/>
    <w:rsid w:val="00A034A0"/>
    <w:rsid w:val="00A1656C"/>
    <w:rsid w:val="00A16F35"/>
    <w:rsid w:val="00A24223"/>
    <w:rsid w:val="00A32B27"/>
    <w:rsid w:val="00A449A2"/>
    <w:rsid w:val="00A60BD2"/>
    <w:rsid w:val="00A62B9A"/>
    <w:rsid w:val="00A8376F"/>
    <w:rsid w:val="00AA1C20"/>
    <w:rsid w:val="00AA75B3"/>
    <w:rsid w:val="00AB049B"/>
    <w:rsid w:val="00AB400F"/>
    <w:rsid w:val="00AB4D0A"/>
    <w:rsid w:val="00AD4DD0"/>
    <w:rsid w:val="00AD5757"/>
    <w:rsid w:val="00AF1D04"/>
    <w:rsid w:val="00AF6C26"/>
    <w:rsid w:val="00B0358C"/>
    <w:rsid w:val="00B30DF9"/>
    <w:rsid w:val="00B32A7A"/>
    <w:rsid w:val="00B4782E"/>
    <w:rsid w:val="00B532E6"/>
    <w:rsid w:val="00B66DDB"/>
    <w:rsid w:val="00B74D51"/>
    <w:rsid w:val="00B804C1"/>
    <w:rsid w:val="00BA2871"/>
    <w:rsid w:val="00BB1FFD"/>
    <w:rsid w:val="00BC1061"/>
    <w:rsid w:val="00BD44D7"/>
    <w:rsid w:val="00BD6DF2"/>
    <w:rsid w:val="00BE5416"/>
    <w:rsid w:val="00BE548E"/>
    <w:rsid w:val="00C05006"/>
    <w:rsid w:val="00C30EB5"/>
    <w:rsid w:val="00C608E4"/>
    <w:rsid w:val="00C84E03"/>
    <w:rsid w:val="00C90012"/>
    <w:rsid w:val="00C90A13"/>
    <w:rsid w:val="00C9469E"/>
    <w:rsid w:val="00C95E5C"/>
    <w:rsid w:val="00C96559"/>
    <w:rsid w:val="00CA04A0"/>
    <w:rsid w:val="00CA1E33"/>
    <w:rsid w:val="00CA2A1A"/>
    <w:rsid w:val="00CA6191"/>
    <w:rsid w:val="00CB4492"/>
    <w:rsid w:val="00CC7A7C"/>
    <w:rsid w:val="00CD7553"/>
    <w:rsid w:val="00CE6CEC"/>
    <w:rsid w:val="00CF49F1"/>
    <w:rsid w:val="00D02150"/>
    <w:rsid w:val="00D16A60"/>
    <w:rsid w:val="00D21DB8"/>
    <w:rsid w:val="00D228DA"/>
    <w:rsid w:val="00D32D94"/>
    <w:rsid w:val="00D37BC3"/>
    <w:rsid w:val="00D5294C"/>
    <w:rsid w:val="00D63CF9"/>
    <w:rsid w:val="00D84A17"/>
    <w:rsid w:val="00D85B32"/>
    <w:rsid w:val="00DE4CFD"/>
    <w:rsid w:val="00DF71D4"/>
    <w:rsid w:val="00E2530D"/>
    <w:rsid w:val="00E25E19"/>
    <w:rsid w:val="00E42769"/>
    <w:rsid w:val="00E546BC"/>
    <w:rsid w:val="00E561E6"/>
    <w:rsid w:val="00E65201"/>
    <w:rsid w:val="00E73FFA"/>
    <w:rsid w:val="00E8748E"/>
    <w:rsid w:val="00EB2C94"/>
    <w:rsid w:val="00EC1B1C"/>
    <w:rsid w:val="00EC3904"/>
    <w:rsid w:val="00EC4AA6"/>
    <w:rsid w:val="00EC58FA"/>
    <w:rsid w:val="00ED1AB6"/>
    <w:rsid w:val="00ED7190"/>
    <w:rsid w:val="00EE58B3"/>
    <w:rsid w:val="00EF3981"/>
    <w:rsid w:val="00EF4E97"/>
    <w:rsid w:val="00EF66AB"/>
    <w:rsid w:val="00F30DA1"/>
    <w:rsid w:val="00F36B5F"/>
    <w:rsid w:val="00F36C76"/>
    <w:rsid w:val="00F36EC0"/>
    <w:rsid w:val="00F40FB4"/>
    <w:rsid w:val="00F5483A"/>
    <w:rsid w:val="00F55F2D"/>
    <w:rsid w:val="00F610EE"/>
    <w:rsid w:val="00F727E2"/>
    <w:rsid w:val="00F762B8"/>
    <w:rsid w:val="00F81A59"/>
    <w:rsid w:val="00F90933"/>
    <w:rsid w:val="00F96411"/>
    <w:rsid w:val="00FA53D9"/>
    <w:rsid w:val="00FC5F7D"/>
    <w:rsid w:val="00FE3E45"/>
    <w:rsid w:val="00FE491B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FC49A400-F1B5-4D6F-A534-77E655F9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69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04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81F6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coordination.bluecrossmn.com/care-coordin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arecoordination.bluecrossmn.com/wp-content/uploads/2024/12/Care-Coordinator-DTR-Decision-Guide-12-20-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E6816-D004-4200-9FFB-45BB5AB8D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15523-71E9-4D05-A3AB-791B590725AC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39EF43EC-AF8E-47F3-B78C-59D4322FC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338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Links>
    <vt:vector size="24" baseType="variant">
      <vt:variant>
        <vt:i4>2162800</vt:i4>
      </vt:variant>
      <vt:variant>
        <vt:i4>3</vt:i4>
      </vt:variant>
      <vt:variant>
        <vt:i4>0</vt:i4>
      </vt:variant>
      <vt:variant>
        <vt:i4>5</vt:i4>
      </vt:variant>
      <vt:variant>
        <vt:lpwstr>https://carecoordination.bluecrossmn.com/care-coordination/</vt:lpwstr>
      </vt:variant>
      <vt:variant>
        <vt:lpwstr/>
      </vt:variant>
      <vt:variant>
        <vt:i4>7798828</vt:i4>
      </vt:variant>
      <vt:variant>
        <vt:i4>0</vt:i4>
      </vt:variant>
      <vt:variant>
        <vt:i4>0</vt:i4>
      </vt:variant>
      <vt:variant>
        <vt:i4>5</vt:i4>
      </vt:variant>
      <vt:variant>
        <vt:lpwstr>https://carecoordination.bluecrossmn.com/wp-content/uploads/2024/12/Care-Coordinator-DTR-Decision-Guide-12-20-2024.docx</vt:lpwstr>
      </vt:variant>
      <vt:variant>
        <vt:lpwstr/>
      </vt:variant>
      <vt:variant>
        <vt:i4>6553613</vt:i4>
      </vt:variant>
      <vt:variant>
        <vt:i4>3</vt:i4>
      </vt:variant>
      <vt:variant>
        <vt:i4>0</vt:i4>
      </vt:variant>
      <vt:variant>
        <vt:i4>5</vt:i4>
      </vt:variant>
      <vt:variant>
        <vt:lpwstr>mailto:melinda.heaser@bluecrossmn.com</vt:lpwstr>
      </vt:variant>
      <vt:variant>
        <vt:lpwstr/>
      </vt:variant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mailto:kim.flom@bluecrossmn.com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117</cp:revision>
  <cp:lastPrinted>2023-04-13T17:37:00Z</cp:lastPrinted>
  <dcterms:created xsi:type="dcterms:W3CDTF">2024-12-19T14:22:00Z</dcterms:created>
  <dcterms:modified xsi:type="dcterms:W3CDTF">2024-12-20T16:24:00Z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2024-10-11T21:27:34Z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d3ba3f32-3356-43d3-ac42-471f426ad55a</vt:lpwstr>
  </property>
  <property fmtid="{D5CDD505-2E9C-101B-9397-08002B2CF9AE}" pid="8" name="MSIP_Label_f022c332-444a-4254-b930-8cf70d5ef151_ContentBits">
    <vt:lpwstr>0</vt:lpwstr>
  </property>
  <property fmtid="{D5CDD505-2E9C-101B-9397-08002B2CF9AE}" pid="9" name="ContentTypeId">
    <vt:lpwstr>0x010100492A67E8656AB841933B184C9B9D7B35</vt:lpwstr>
  </property>
  <property fmtid="{D5CDD505-2E9C-101B-9397-08002B2CF9AE}" pid="10" name="MediaServiceImageTags">
    <vt:lpwstr/>
  </property>
</Properties>
</file>