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2D14DE49" w14:textId="296EA8C9" w:rsidR="00D30B9D" w:rsidRDefault="00C608E4" w:rsidP="002271B2">
            <w:pPr>
              <w:pStyle w:val="Heading1"/>
              <w:rPr>
                <w:sz w:val="24"/>
                <w:szCs w:val="24"/>
              </w:rPr>
            </w:pPr>
            <w:r w:rsidRPr="005301FC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65A7615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7162800" cy="64770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7478AC14" w:rsidR="00C608E4" w:rsidRPr="005301FC" w:rsidRDefault="00DD3C32" w:rsidP="004C0F7F">
                                  <w:pPr>
                                    <w:pStyle w:val="Heading1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</w:rPr>
                                  </w:pPr>
                                  <w:r w:rsidRPr="005301FC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</w:rPr>
                                    <w:t>CFSS</w:t>
                                  </w:r>
                                  <w:r w:rsidR="00054C13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</w:rPr>
                                    <w:t xml:space="preserve">, PCA, &amp; </w:t>
                                  </w:r>
                                  <w:r w:rsidR="007C5A74" w:rsidRPr="005301FC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</w:rPr>
                                    <w:t xml:space="preserve">Bridgeview </w:t>
                                  </w:r>
                                  <w:r w:rsidR="004C0F7F" w:rsidRPr="005301FC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</w:rPr>
                                    <w:t>Updates</w:t>
                                  </w:r>
                                  <w:r w:rsidRPr="005301FC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</w:rPr>
                                    <w:t xml:space="preserve"> </w:t>
                                  </w:r>
                                  <w:r w:rsidR="007C5A74" w:rsidRPr="005301FC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</w:rPr>
                                    <w:t xml:space="preserve">&amp; </w:t>
                                  </w:r>
                                  <w:r w:rsidR="001C6EEC" w:rsidRPr="005301FC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</w:rPr>
                                    <w:t>Reminders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6pt;margin-top:0;width:564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" stroked="f">
                      <v:textbox>
                        <w:txbxContent>
                          <w:p w14:paraId="1D4BA1CD" w14:textId="7478AC14" w:rsidR="00C608E4" w:rsidRPr="005301FC" w:rsidRDefault="00DD3C32" w:rsidP="004C0F7F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301FC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CFSS</w:t>
                            </w:r>
                            <w:r w:rsidR="00054C13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, PCA, &amp; </w:t>
                            </w:r>
                            <w:r w:rsidR="007C5A74" w:rsidRPr="005301FC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Bridgeview </w:t>
                            </w:r>
                            <w:r w:rsidR="004C0F7F" w:rsidRPr="005301FC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Updates</w:t>
                            </w:r>
                            <w:r w:rsidRPr="005301FC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7C5A74" w:rsidRPr="005301FC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&amp; </w:t>
                            </w:r>
                            <w:r w:rsidR="001C6EEC" w:rsidRPr="005301FC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Reminders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5A74" w:rsidRPr="005301FC">
              <w:rPr>
                <w:b/>
                <w:bCs/>
                <w:u w:val="single"/>
              </w:rPr>
              <w:t>CFSS Program Update – Six Month Transition Period for Current PCA/CS</w:t>
            </w:r>
            <w:r w:rsidR="002271B2">
              <w:rPr>
                <w:b/>
                <w:bCs/>
                <w:u w:val="single"/>
              </w:rPr>
              <w:t>G</w:t>
            </w:r>
            <w:r w:rsidR="007C5A74" w:rsidRPr="005301FC">
              <w:rPr>
                <w:b/>
                <w:bCs/>
                <w:u w:val="single"/>
              </w:rPr>
              <w:t xml:space="preserve"> Recipients</w:t>
            </w:r>
          </w:p>
          <w:p w14:paraId="05552C11" w14:textId="77777777" w:rsidR="002271B2" w:rsidRPr="002271B2" w:rsidRDefault="002271B2" w:rsidP="005301FC"/>
          <w:p w14:paraId="7A4629F1" w14:textId="6C6FAA7F" w:rsidR="001C6EEC" w:rsidRDefault="001C6EEC" w:rsidP="005301FC">
            <w:pPr>
              <w:spacing w:before="120"/>
            </w:pPr>
            <w:r>
              <w:t xml:space="preserve">On 11/26, DHS announced that effective immediately, members currently using PCA/CSG services will receive up to </w:t>
            </w:r>
            <w:r w:rsidR="009E3E35">
              <w:t>6</w:t>
            </w:r>
            <w:r>
              <w:t xml:space="preserve"> months of PCA/CSG while they transition to CFSS.  </w:t>
            </w:r>
          </w:p>
          <w:p w14:paraId="133F3DB8" w14:textId="12ECC060" w:rsidR="00CA04A0" w:rsidRDefault="001C6EEC" w:rsidP="005301FC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guidance replaces DHS’s previous transition period of </w:t>
            </w:r>
            <w:r w:rsidR="009E3E35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month</w:t>
            </w:r>
            <w:r w:rsidR="007C5A7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  <w:p w14:paraId="01EA2D94" w14:textId="5BC66585" w:rsidR="009E3E35" w:rsidRPr="005301FC" w:rsidRDefault="001C6EEC" w:rsidP="005301FC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Bridgeview update to capture this change is currently planned for roll-out the week of December 2</w:t>
            </w:r>
            <w:r w:rsidRPr="001C6EEC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>.</w:t>
            </w:r>
          </w:p>
          <w:p w14:paraId="2A97D07D" w14:textId="24A9746B" w:rsidR="009E3E35" w:rsidRPr="005301FC" w:rsidRDefault="009E3E35" w:rsidP="005301FC">
            <w:pPr>
              <w:pStyle w:val="Heading2"/>
              <w:rPr>
                <w:b/>
                <w:bCs/>
              </w:rPr>
            </w:pPr>
            <w:r w:rsidRPr="005301FC">
              <w:rPr>
                <w:b/>
                <w:bCs/>
              </w:rPr>
              <w:t>What must Care Coordination staff do?</w:t>
            </w:r>
          </w:p>
          <w:p w14:paraId="4031ADA6" w14:textId="45EBCC25" w:rsidR="009E3E35" w:rsidRDefault="009E3E35" w:rsidP="009E3E35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Coordination staff must review members </w:t>
            </w:r>
            <w:r w:rsidR="000930DA">
              <w:rPr>
                <w:sz w:val="24"/>
                <w:szCs w:val="24"/>
              </w:rPr>
              <w:t>with a transitional</w:t>
            </w:r>
            <w:r>
              <w:rPr>
                <w:sz w:val="24"/>
                <w:szCs w:val="24"/>
              </w:rPr>
              <w:t xml:space="preserve"> 3 month </w:t>
            </w:r>
            <w:r w:rsidR="000930DA">
              <w:rPr>
                <w:sz w:val="24"/>
                <w:szCs w:val="24"/>
              </w:rPr>
              <w:t>PCA Supervision/</w:t>
            </w:r>
            <w:r>
              <w:rPr>
                <w:sz w:val="24"/>
                <w:szCs w:val="24"/>
              </w:rPr>
              <w:t>PC</w:t>
            </w:r>
            <w:r w:rsidR="000930DA">
              <w:rPr>
                <w:sz w:val="24"/>
                <w:szCs w:val="24"/>
              </w:rPr>
              <w:t>A service agreement</w:t>
            </w:r>
            <w:r>
              <w:rPr>
                <w:sz w:val="24"/>
                <w:szCs w:val="24"/>
              </w:rPr>
              <w:t>.</w:t>
            </w:r>
          </w:p>
          <w:p w14:paraId="553406F4" w14:textId="44C264A3" w:rsidR="009E3E35" w:rsidRDefault="009E3E35" w:rsidP="009E3E35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 member needs </w:t>
            </w:r>
            <w:r w:rsidR="000930DA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additional 3 months </w:t>
            </w:r>
            <w:r w:rsidR="005301FC">
              <w:rPr>
                <w:sz w:val="24"/>
                <w:szCs w:val="24"/>
              </w:rPr>
              <w:t>to transition to CFSS,</w:t>
            </w:r>
            <w:r>
              <w:rPr>
                <w:sz w:val="24"/>
                <w:szCs w:val="24"/>
              </w:rPr>
              <w:t xml:space="preserve"> Care Coordination staff should </w:t>
            </w:r>
            <w:r w:rsidR="000930DA">
              <w:rPr>
                <w:sz w:val="24"/>
                <w:szCs w:val="24"/>
              </w:rPr>
              <w:t>create</w:t>
            </w:r>
            <w:r w:rsidR="00176FE2">
              <w:rPr>
                <w:sz w:val="24"/>
                <w:szCs w:val="24"/>
              </w:rPr>
              <w:t xml:space="preserve"> new service agreements (1 for Supervision, 1 for PCA)</w:t>
            </w:r>
            <w:r>
              <w:rPr>
                <w:sz w:val="24"/>
                <w:szCs w:val="24"/>
              </w:rPr>
              <w:t xml:space="preserve"> </w:t>
            </w:r>
            <w:r w:rsidR="000930DA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 xml:space="preserve">Bridgeview (not to exceed a total of 6 months). </w:t>
            </w:r>
          </w:p>
          <w:p w14:paraId="516F6B07" w14:textId="2D05C1A1" w:rsidR="009E3E35" w:rsidRDefault="009E3E35" w:rsidP="009E3E35">
            <w:pPr>
              <w:pStyle w:val="ListParagraph"/>
              <w:numPr>
                <w:ilvl w:val="1"/>
                <w:numId w:val="20"/>
              </w:numPr>
              <w:spacing w:before="60" w:after="60" w:line="240" w:lineRule="auto"/>
              <w:rPr>
                <w:sz w:val="24"/>
                <w:szCs w:val="24"/>
              </w:rPr>
            </w:pPr>
            <w:r w:rsidRPr="005301FC">
              <w:rPr>
                <w:b/>
                <w:bCs/>
                <w:sz w:val="24"/>
                <w:szCs w:val="24"/>
              </w:rPr>
              <w:t>IMPORTANT:</w:t>
            </w:r>
            <w:r>
              <w:rPr>
                <w:sz w:val="24"/>
                <w:szCs w:val="24"/>
              </w:rPr>
              <w:t xml:space="preserve"> TO AVOID BILLING ISSUES, DO NOT UPDATE THE EXISTING PCA SUPERVISION</w:t>
            </w:r>
            <w:r w:rsidR="000930DA">
              <w:rPr>
                <w:sz w:val="24"/>
                <w:szCs w:val="24"/>
              </w:rPr>
              <w:t>/PCA</w:t>
            </w:r>
            <w:r>
              <w:rPr>
                <w:sz w:val="24"/>
                <w:szCs w:val="24"/>
              </w:rPr>
              <w:t xml:space="preserve"> SERVICE AGREEMENT</w:t>
            </w:r>
            <w:r w:rsidR="000930D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="000930DA">
              <w:rPr>
                <w:sz w:val="24"/>
                <w:szCs w:val="24"/>
              </w:rPr>
              <w:t xml:space="preserve">  NEW SERVICE AGREEMENTS MUST BE ADDED.</w:t>
            </w:r>
          </w:p>
          <w:p w14:paraId="1C92DD83" w14:textId="5428BC40" w:rsidR="000930DA" w:rsidRPr="005301FC" w:rsidRDefault="000930DA" w:rsidP="005301FC">
            <w:pPr>
              <w:pStyle w:val="ListParagraph"/>
              <w:numPr>
                <w:ilvl w:val="2"/>
                <w:numId w:val="20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Providers should be advised to look for new authorizations</w:t>
            </w:r>
            <w:r w:rsidR="00176FE2">
              <w:rPr>
                <w:sz w:val="24"/>
                <w:szCs w:val="24"/>
              </w:rPr>
              <w:t xml:space="preserve"> covering the dates added</w:t>
            </w:r>
            <w:r>
              <w:rPr>
                <w:sz w:val="24"/>
                <w:szCs w:val="24"/>
              </w:rPr>
              <w:t xml:space="preserve"> in Availity.</w:t>
            </w:r>
          </w:p>
          <w:p w14:paraId="5FF4AC65" w14:textId="77777777" w:rsidR="007C5A74" w:rsidRDefault="007C5A74" w:rsidP="002271B2">
            <w:pPr>
              <w:pStyle w:val="Heading1"/>
              <w:rPr>
                <w:b/>
                <w:bCs/>
                <w:u w:val="single"/>
              </w:rPr>
            </w:pPr>
            <w:r w:rsidRPr="005301FC">
              <w:rPr>
                <w:b/>
                <w:bCs/>
                <w:u w:val="single"/>
              </w:rPr>
              <w:t>CFSS Providers Approved by DHS &amp; Not in Bridgeview</w:t>
            </w:r>
          </w:p>
          <w:p w14:paraId="5E63475C" w14:textId="77777777" w:rsidR="002271B2" w:rsidRPr="002271B2" w:rsidRDefault="002271B2" w:rsidP="005301FC"/>
          <w:p w14:paraId="48867CF3" w14:textId="6B608800" w:rsidR="007C5A74" w:rsidRPr="00B7132E" w:rsidRDefault="007C5A74" w:rsidP="007C5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CFSS </w:t>
            </w:r>
            <w:r w:rsidRPr="00B7132E">
              <w:rPr>
                <w:sz w:val="24"/>
                <w:szCs w:val="24"/>
              </w:rPr>
              <w:t xml:space="preserve">Providers who are contracted with DHS but are not </w:t>
            </w:r>
            <w:r w:rsidR="00094E93">
              <w:rPr>
                <w:sz w:val="24"/>
                <w:szCs w:val="24"/>
              </w:rPr>
              <w:t>displaying</w:t>
            </w:r>
            <w:r w:rsidRPr="00B7132E">
              <w:rPr>
                <w:sz w:val="24"/>
                <w:szCs w:val="24"/>
              </w:rPr>
              <w:t xml:space="preserve"> in Bridgeview have not completed enrollment paperwork with Bridgeview.</w:t>
            </w:r>
          </w:p>
          <w:p w14:paraId="6A746372" w14:textId="774ACCC5" w:rsidR="007C5A74" w:rsidRPr="00B7132E" w:rsidRDefault="007C5A74" w:rsidP="007C5A7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rPr>
                <w:sz w:val="24"/>
                <w:szCs w:val="24"/>
              </w:rPr>
            </w:pPr>
            <w:r w:rsidRPr="00B7132E">
              <w:rPr>
                <w:sz w:val="24"/>
                <w:szCs w:val="24"/>
              </w:rPr>
              <w:t>To get them added to the webtool, please</w:t>
            </w:r>
            <w:r>
              <w:rPr>
                <w:sz w:val="24"/>
                <w:szCs w:val="24"/>
              </w:rPr>
              <w:t xml:space="preserve"> </w:t>
            </w:r>
            <w:r w:rsidR="00176FE2">
              <w:rPr>
                <w:sz w:val="24"/>
                <w:szCs w:val="24"/>
              </w:rPr>
              <w:t>notify</w:t>
            </w:r>
            <w:r>
              <w:rPr>
                <w:sz w:val="24"/>
                <w:szCs w:val="24"/>
              </w:rPr>
              <w:t xml:space="preserve"> the provider </w:t>
            </w:r>
            <w:r w:rsidR="00176FE2">
              <w:rPr>
                <w:sz w:val="24"/>
                <w:szCs w:val="24"/>
              </w:rPr>
              <w:t>that they should email</w:t>
            </w:r>
            <w:r w:rsidRPr="00B7132E">
              <w:rPr>
                <w:sz w:val="24"/>
                <w:szCs w:val="24"/>
              </w:rPr>
              <w:t xml:space="preserve"> </w:t>
            </w:r>
            <w:hyperlink r:id="rId7" w:history="1">
              <w:r w:rsidRPr="00B7132E">
                <w:rPr>
                  <w:rStyle w:val="Hyperlink"/>
                  <w:sz w:val="24"/>
                  <w:szCs w:val="24"/>
                </w:rPr>
                <w:t>bridgeview.ewproviders@bluecrossmn.com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176FE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request </w:t>
            </w:r>
            <w:r w:rsidRPr="00B7132E">
              <w:rPr>
                <w:sz w:val="24"/>
                <w:szCs w:val="24"/>
              </w:rPr>
              <w:t>Bridgeview/Availity enrollment paperwork</w:t>
            </w:r>
            <w:r w:rsidR="00094E93">
              <w:rPr>
                <w:sz w:val="24"/>
                <w:szCs w:val="24"/>
              </w:rPr>
              <w:t>.</w:t>
            </w:r>
          </w:p>
          <w:p w14:paraId="0E17FF35" w14:textId="11AC9DCD" w:rsidR="007C5A74" w:rsidRDefault="007C5A74" w:rsidP="007C5A7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receiving this request</w:t>
            </w:r>
            <w:r w:rsidR="00176FE2">
              <w:rPr>
                <w:sz w:val="24"/>
                <w:szCs w:val="24"/>
              </w:rPr>
              <w:t xml:space="preserve"> from the provider</w:t>
            </w:r>
            <w:r>
              <w:rPr>
                <w:sz w:val="24"/>
                <w:szCs w:val="24"/>
              </w:rPr>
              <w:t xml:space="preserve">, a </w:t>
            </w:r>
            <w:r w:rsidRPr="00B7132E">
              <w:rPr>
                <w:sz w:val="24"/>
                <w:szCs w:val="24"/>
              </w:rPr>
              <w:t xml:space="preserve">Bridgeview team member will email </w:t>
            </w:r>
            <w:r w:rsidR="00054C13">
              <w:rPr>
                <w:sz w:val="24"/>
                <w:szCs w:val="24"/>
              </w:rPr>
              <w:t xml:space="preserve">the provider the </w:t>
            </w:r>
            <w:r w:rsidR="00E16D93">
              <w:rPr>
                <w:sz w:val="24"/>
                <w:szCs w:val="24"/>
              </w:rPr>
              <w:lastRenderedPageBreak/>
              <w:t>required documents</w:t>
            </w:r>
            <w:r>
              <w:rPr>
                <w:sz w:val="24"/>
                <w:szCs w:val="24"/>
              </w:rPr>
              <w:t>.</w:t>
            </w:r>
          </w:p>
          <w:p w14:paraId="49A65238" w14:textId="7DD320F1" w:rsidR="007C5A74" w:rsidRPr="00B7132E" w:rsidRDefault="007C5A74" w:rsidP="007C5A7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7132E">
              <w:rPr>
                <w:sz w:val="24"/>
                <w:szCs w:val="24"/>
              </w:rPr>
              <w:t xml:space="preserve">hen </w:t>
            </w:r>
            <w:r>
              <w:rPr>
                <w:sz w:val="24"/>
                <w:szCs w:val="24"/>
              </w:rPr>
              <w:t>this paperwork is</w:t>
            </w:r>
            <w:r w:rsidRPr="00B7132E">
              <w:rPr>
                <w:sz w:val="24"/>
                <w:szCs w:val="24"/>
              </w:rPr>
              <w:t xml:space="preserve"> returned, fully completed,</w:t>
            </w:r>
            <w:r>
              <w:rPr>
                <w:sz w:val="24"/>
                <w:szCs w:val="24"/>
              </w:rPr>
              <w:t xml:space="preserve"> the provider</w:t>
            </w:r>
            <w:r w:rsidRPr="00B7132E">
              <w:rPr>
                <w:sz w:val="24"/>
                <w:szCs w:val="24"/>
              </w:rPr>
              <w:t xml:space="preserve"> will then be entered into Bridgeview and Care Coordination staff </w:t>
            </w:r>
            <w:r>
              <w:rPr>
                <w:sz w:val="24"/>
                <w:szCs w:val="24"/>
              </w:rPr>
              <w:t>can</w:t>
            </w:r>
            <w:r w:rsidRPr="00B7132E">
              <w:rPr>
                <w:sz w:val="24"/>
                <w:szCs w:val="24"/>
              </w:rPr>
              <w:t xml:space="preserve"> enter SAs.  </w:t>
            </w:r>
          </w:p>
          <w:p w14:paraId="0CAD1081" w14:textId="1B6A11B7" w:rsidR="007C5A74" w:rsidRPr="00B7132E" w:rsidRDefault="00054C13" w:rsidP="007C5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Getting providers</w:t>
            </w:r>
            <w:r w:rsidR="00E16D93">
              <w:rPr>
                <w:sz w:val="24"/>
                <w:szCs w:val="24"/>
              </w:rPr>
              <w:t xml:space="preserve"> enroll</w:t>
            </w:r>
            <w:r>
              <w:rPr>
                <w:sz w:val="24"/>
                <w:szCs w:val="24"/>
              </w:rPr>
              <w:t>ed in</w:t>
            </w:r>
            <w:r w:rsidR="00E16D93">
              <w:rPr>
                <w:sz w:val="24"/>
                <w:szCs w:val="24"/>
              </w:rPr>
              <w:t xml:space="preserve"> Bridgeview</w:t>
            </w:r>
            <w:r>
              <w:rPr>
                <w:sz w:val="24"/>
                <w:szCs w:val="24"/>
              </w:rPr>
              <w:t>/Availity</w:t>
            </w:r>
            <w:r w:rsidR="00E16D93">
              <w:rPr>
                <w:sz w:val="24"/>
                <w:szCs w:val="24"/>
              </w:rPr>
              <w:t xml:space="preserve"> is necessary so they can </w:t>
            </w:r>
            <w:r w:rsidR="007C5A74" w:rsidRPr="00B7132E">
              <w:rPr>
                <w:sz w:val="24"/>
                <w:szCs w:val="24"/>
              </w:rPr>
              <w:t>receive authorizations</w:t>
            </w:r>
            <w:r w:rsidR="007C5A74">
              <w:rPr>
                <w:sz w:val="24"/>
                <w:szCs w:val="24"/>
              </w:rPr>
              <w:t xml:space="preserve"> and bill</w:t>
            </w:r>
            <w:r w:rsidR="007C5A74" w:rsidRPr="00B7132E">
              <w:rPr>
                <w:sz w:val="24"/>
                <w:szCs w:val="24"/>
              </w:rPr>
              <w:t xml:space="preserve"> for</w:t>
            </w:r>
            <w:r w:rsidR="00176FE2">
              <w:rPr>
                <w:sz w:val="24"/>
                <w:szCs w:val="24"/>
              </w:rPr>
              <w:t xml:space="preserve"> the services they are providing to</w:t>
            </w:r>
            <w:r w:rsidR="007C5A74" w:rsidRPr="00B7132E">
              <w:rPr>
                <w:sz w:val="24"/>
                <w:szCs w:val="24"/>
              </w:rPr>
              <w:t xml:space="preserve"> Blue Plus members</w:t>
            </w:r>
            <w:r>
              <w:rPr>
                <w:sz w:val="24"/>
                <w:szCs w:val="24"/>
              </w:rPr>
              <w:t xml:space="preserve">.  This </w:t>
            </w:r>
            <w:r w:rsidR="007C5A74" w:rsidRPr="00B7132E">
              <w:rPr>
                <w:sz w:val="24"/>
                <w:szCs w:val="24"/>
              </w:rPr>
              <w:t xml:space="preserve">process generally moves quickly once </w:t>
            </w:r>
            <w:r>
              <w:rPr>
                <w:sz w:val="24"/>
                <w:szCs w:val="24"/>
              </w:rPr>
              <w:t>Bridgeview receives</w:t>
            </w:r>
            <w:r w:rsidR="007C5A74" w:rsidRPr="00B713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completed paperwork</w:t>
            </w:r>
            <w:r w:rsidR="007C5A74" w:rsidRPr="00B7132E">
              <w:rPr>
                <w:sz w:val="24"/>
                <w:szCs w:val="24"/>
              </w:rPr>
              <w:t>.</w:t>
            </w:r>
          </w:p>
          <w:p w14:paraId="665ED664" w14:textId="77777777" w:rsidR="007C5A74" w:rsidRPr="00B7132E" w:rsidRDefault="007C5A74" w:rsidP="007C5A74">
            <w:pPr>
              <w:rPr>
                <w:sz w:val="24"/>
                <w:szCs w:val="24"/>
              </w:rPr>
            </w:pPr>
          </w:p>
          <w:p w14:paraId="3DDF3F7A" w14:textId="1F9CEEA1" w:rsidR="000930DA" w:rsidRDefault="007C5A74" w:rsidP="005301FC">
            <w:r w:rsidRPr="00B7132E">
              <w:rPr>
                <w:sz w:val="24"/>
                <w:szCs w:val="24"/>
              </w:rPr>
              <w:t>Please reach out to your Partner Relations Consultant if you have any questions or concerns.</w:t>
            </w:r>
          </w:p>
          <w:p w14:paraId="143C8DFD" w14:textId="56530616" w:rsidR="000930DA" w:rsidRPr="005301FC" w:rsidRDefault="000930DA" w:rsidP="005301FC">
            <w:pPr>
              <w:pStyle w:val="Heading1"/>
              <w:rPr>
                <w:b/>
                <w:bCs/>
                <w:u w:val="single"/>
              </w:rPr>
            </w:pPr>
            <w:r w:rsidRPr="005301FC">
              <w:rPr>
                <w:b/>
                <w:bCs/>
                <w:u w:val="single"/>
              </w:rPr>
              <w:t>Reminder: Clearing Cache</w:t>
            </w:r>
          </w:p>
          <w:p w14:paraId="4CF26FFD" w14:textId="2BE44C17" w:rsidR="00520347" w:rsidRPr="001C6EEC" w:rsidRDefault="00520347" w:rsidP="001C6EEC">
            <w:pPr>
              <w:spacing w:before="240" w:after="60"/>
              <w:rPr>
                <w:sz w:val="24"/>
                <w:szCs w:val="24"/>
              </w:rPr>
            </w:pPr>
            <w:r w:rsidRPr="001C6EEC">
              <w:rPr>
                <w:sz w:val="24"/>
                <w:szCs w:val="24"/>
              </w:rPr>
              <w:t>If</w:t>
            </w:r>
            <w:r w:rsidR="001C6EEC">
              <w:rPr>
                <w:sz w:val="24"/>
                <w:szCs w:val="24"/>
              </w:rPr>
              <w:t xml:space="preserve">, at any time, </w:t>
            </w:r>
            <w:r w:rsidR="00E04C1E">
              <w:rPr>
                <w:sz w:val="24"/>
                <w:szCs w:val="24"/>
              </w:rPr>
              <w:t>you</w:t>
            </w:r>
            <w:r w:rsidR="000930DA" w:rsidRPr="001C6EEC">
              <w:rPr>
                <w:sz w:val="24"/>
                <w:szCs w:val="24"/>
              </w:rPr>
              <w:t xml:space="preserve"> </w:t>
            </w:r>
            <w:r w:rsidRPr="001C6EEC">
              <w:rPr>
                <w:sz w:val="24"/>
                <w:szCs w:val="24"/>
              </w:rPr>
              <w:t xml:space="preserve">encounter errors </w:t>
            </w:r>
            <w:r w:rsidR="00176FE2">
              <w:rPr>
                <w:sz w:val="24"/>
                <w:szCs w:val="24"/>
              </w:rPr>
              <w:t xml:space="preserve">while </w:t>
            </w:r>
            <w:r w:rsidR="00E04C1E">
              <w:rPr>
                <w:sz w:val="24"/>
                <w:szCs w:val="24"/>
              </w:rPr>
              <w:t>working in Bridgeview</w:t>
            </w:r>
            <w:r w:rsidRPr="001C6EEC">
              <w:rPr>
                <w:sz w:val="24"/>
                <w:szCs w:val="24"/>
              </w:rPr>
              <w:t>, clear your cache.</w:t>
            </w:r>
          </w:p>
          <w:p w14:paraId="6F960BA7" w14:textId="0629E8AC" w:rsidR="009F0BDB" w:rsidRPr="005301FC" w:rsidRDefault="009F0BDB" w:rsidP="009F0BDB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Instructions for how to </w:t>
            </w:r>
            <w:r w:rsidR="00E04C1E">
              <w:rPr>
                <w:sz w:val="24"/>
                <w:szCs w:val="24"/>
              </w:rPr>
              <w:t>do this</w:t>
            </w:r>
            <w:r>
              <w:rPr>
                <w:sz w:val="24"/>
                <w:szCs w:val="24"/>
              </w:rPr>
              <w:t xml:space="preserve"> can be found </w:t>
            </w:r>
            <w:hyperlink r:id="rId8" w:history="1">
              <w:r w:rsidRPr="009F0BDB">
                <w:rPr>
                  <w:rStyle w:val="Hyperlink"/>
                  <w:sz w:val="24"/>
                  <w:szCs w:val="24"/>
                </w:rPr>
                <w:t>here</w:t>
              </w:r>
            </w:hyperlink>
            <w:r>
              <w:rPr>
                <w:sz w:val="24"/>
                <w:szCs w:val="24"/>
              </w:rPr>
              <w:t xml:space="preserve"> or on our </w:t>
            </w:r>
            <w:hyperlink r:id="rId9" w:history="1">
              <w:r w:rsidRPr="009F0BDB">
                <w:rPr>
                  <w:rStyle w:val="Hyperlink"/>
                  <w:sz w:val="24"/>
                  <w:szCs w:val="24"/>
                </w:rPr>
                <w:t>Bridgeview webpage</w:t>
              </w:r>
            </w:hyperlink>
            <w:r>
              <w:rPr>
                <w:sz w:val="24"/>
                <w:szCs w:val="24"/>
              </w:rPr>
              <w:t>.</w:t>
            </w:r>
          </w:p>
          <w:p w14:paraId="6D1E4E7C" w14:textId="19DAD951" w:rsidR="00520347" w:rsidRDefault="00520347" w:rsidP="009F0BDB">
            <w:pPr>
              <w:pStyle w:val="ListParagraph"/>
              <w:numPr>
                <w:ilvl w:val="1"/>
                <w:numId w:val="17"/>
              </w:numPr>
              <w:spacing w:before="60" w:after="120" w:line="240" w:lineRule="auto"/>
              <w:rPr>
                <w:sz w:val="24"/>
                <w:szCs w:val="24"/>
              </w:rPr>
            </w:pPr>
            <w:r w:rsidRPr="00520347">
              <w:rPr>
                <w:b/>
                <w:bCs/>
                <w:sz w:val="24"/>
                <w:szCs w:val="24"/>
              </w:rPr>
              <w:t>*To avoid losing MnCHOICES assessment documents taken off-line</w:t>
            </w:r>
            <w:r w:rsidR="005301F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bring documents online </w:t>
            </w:r>
            <w:r w:rsidRPr="00520347">
              <w:rPr>
                <w:b/>
                <w:bCs/>
                <w:sz w:val="24"/>
                <w:szCs w:val="24"/>
              </w:rPr>
              <w:t>before</w:t>
            </w:r>
            <w:r>
              <w:rPr>
                <w:sz w:val="24"/>
                <w:szCs w:val="24"/>
              </w:rPr>
              <w:t xml:space="preserve"> clearing your cache.</w:t>
            </w:r>
          </w:p>
          <w:p w14:paraId="71E2A4C4" w14:textId="65693964" w:rsidR="001C6EEC" w:rsidRPr="001C6EEC" w:rsidRDefault="001C6EEC" w:rsidP="009F0BDB">
            <w:pPr>
              <w:pStyle w:val="ListParagraph"/>
              <w:numPr>
                <w:ilvl w:val="1"/>
                <w:numId w:val="17"/>
              </w:numPr>
              <w:spacing w:before="60" w:after="120" w:line="240" w:lineRule="auto"/>
              <w:rPr>
                <w:sz w:val="24"/>
                <w:szCs w:val="24"/>
              </w:rPr>
            </w:pPr>
            <w:r w:rsidRPr="001C6EEC">
              <w:rPr>
                <w:sz w:val="24"/>
                <w:szCs w:val="24"/>
              </w:rPr>
              <w:t xml:space="preserve">If, after clearing cache, </w:t>
            </w:r>
            <w:r w:rsidR="00E04C1E">
              <w:rPr>
                <w:sz w:val="24"/>
                <w:szCs w:val="24"/>
              </w:rPr>
              <w:t>you continue to experience issues,</w:t>
            </w:r>
            <w:r w:rsidRPr="001C6EEC">
              <w:rPr>
                <w:sz w:val="24"/>
                <w:szCs w:val="24"/>
              </w:rPr>
              <w:t xml:space="preserve"> reach out to Bridgeview staff at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C6EEC">
              <w:rPr>
                <w:color w:val="0462C1"/>
                <w:sz w:val="24"/>
                <w:szCs w:val="24"/>
              </w:rPr>
              <w:t>Bridgeview.service.agreements@bluecrossmn.com</w:t>
            </w:r>
            <w:r w:rsidR="00E04C1E">
              <w:rPr>
                <w:color w:val="0462C1"/>
                <w:sz w:val="24"/>
                <w:szCs w:val="24"/>
              </w:rPr>
              <w:t>.</w:t>
            </w:r>
          </w:p>
          <w:p w14:paraId="33B283BD" w14:textId="526894CD" w:rsidR="00772DCE" w:rsidRDefault="007C5A74" w:rsidP="00782FDF">
            <w:pPr>
              <w:pStyle w:val="Heading1"/>
            </w:pPr>
            <w:r w:rsidRPr="005301FC">
              <w:rPr>
                <w:b/>
                <w:bCs/>
                <w:u w:val="single"/>
              </w:rPr>
              <w:t>Bridgeview Updates</w:t>
            </w:r>
            <w:r w:rsidR="00520347" w:rsidRPr="005301FC">
              <w:rPr>
                <w:b/>
                <w:bCs/>
                <w:u w:val="single"/>
              </w:rPr>
              <w:t xml:space="preserve"> </w:t>
            </w:r>
            <w:r w:rsidR="004173B1" w:rsidRPr="005301FC">
              <w:rPr>
                <w:b/>
                <w:bCs/>
                <w:u w:val="single"/>
              </w:rPr>
              <w:t>for</w:t>
            </w:r>
            <w:r w:rsidR="00520347" w:rsidRPr="005301FC">
              <w:rPr>
                <w:b/>
                <w:bCs/>
                <w:u w:val="single"/>
              </w:rPr>
              <w:t xml:space="preserve"> Entering PCA Service Agreement</w:t>
            </w:r>
            <w:r w:rsidRPr="005301FC">
              <w:rPr>
                <w:b/>
                <w:bCs/>
                <w:u w:val="single"/>
              </w:rPr>
              <w:t>s</w:t>
            </w:r>
          </w:p>
          <w:p w14:paraId="5695FEF7" w14:textId="77777777" w:rsidR="00782FDF" w:rsidRPr="00782FDF" w:rsidRDefault="00782FDF" w:rsidP="005301FC"/>
          <w:p w14:paraId="65375760" w14:textId="7BCFB3B1" w:rsidR="00772DCE" w:rsidRDefault="00772DCE" w:rsidP="00F91E2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have received several questions about </w:t>
            </w:r>
            <w:r w:rsidR="00E04C1E">
              <w:rPr>
                <w:sz w:val="24"/>
                <w:szCs w:val="24"/>
              </w:rPr>
              <w:t>a recent</w:t>
            </w:r>
            <w:r>
              <w:rPr>
                <w:sz w:val="24"/>
                <w:szCs w:val="24"/>
              </w:rPr>
              <w:t xml:space="preserve"> update in Bridgeview, which requires Care Coordination staff to first enter </w:t>
            </w:r>
            <w:r w:rsidR="00E04C1E">
              <w:rPr>
                <w:sz w:val="24"/>
                <w:szCs w:val="24"/>
              </w:rPr>
              <w:t>T1019 – UA (</w:t>
            </w:r>
            <w:r>
              <w:rPr>
                <w:sz w:val="24"/>
                <w:szCs w:val="24"/>
              </w:rPr>
              <w:t>PCA Supervision</w:t>
            </w:r>
            <w:r w:rsidR="00E04C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5301FC">
              <w:rPr>
                <w:b/>
                <w:bCs/>
                <w:sz w:val="24"/>
                <w:szCs w:val="24"/>
              </w:rPr>
              <w:t>before</w:t>
            </w:r>
            <w:r>
              <w:rPr>
                <w:sz w:val="24"/>
                <w:szCs w:val="24"/>
              </w:rPr>
              <w:t xml:space="preserve"> entering service agreement</w:t>
            </w:r>
            <w:r w:rsidR="005301F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for </w:t>
            </w:r>
            <w:r w:rsidR="00E04C1E">
              <w:rPr>
                <w:sz w:val="24"/>
                <w:szCs w:val="24"/>
              </w:rPr>
              <w:t xml:space="preserve">T1019 - </w:t>
            </w:r>
            <w:r>
              <w:rPr>
                <w:sz w:val="24"/>
                <w:szCs w:val="24"/>
              </w:rPr>
              <w:t>PCA.</w:t>
            </w:r>
            <w:r w:rsidR="00E04C1E">
              <w:rPr>
                <w:sz w:val="24"/>
                <w:szCs w:val="24"/>
              </w:rPr>
              <w:t xml:space="preserve">  *</w:t>
            </w:r>
            <w:r>
              <w:rPr>
                <w:sz w:val="24"/>
                <w:szCs w:val="24"/>
              </w:rPr>
              <w:t xml:space="preserve">This change does not impact CFSS service agreement entry.  </w:t>
            </w:r>
          </w:p>
          <w:p w14:paraId="6B9CAB02" w14:textId="0E98F45E" w:rsidR="00772DCE" w:rsidRDefault="00772DCE" w:rsidP="005301FC">
            <w:pPr>
              <w:spacing w:before="24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review instructions</w:t>
            </w:r>
            <w:r w:rsidR="0063263D">
              <w:rPr>
                <w:sz w:val="24"/>
                <w:szCs w:val="24"/>
              </w:rPr>
              <w:t xml:space="preserve"> and screenshots</w:t>
            </w:r>
            <w:r>
              <w:rPr>
                <w:sz w:val="24"/>
                <w:szCs w:val="24"/>
              </w:rPr>
              <w:t xml:space="preserve"> below</w:t>
            </w:r>
            <w:r w:rsidR="0063263D">
              <w:rPr>
                <w:sz w:val="24"/>
                <w:szCs w:val="24"/>
              </w:rPr>
              <w:t>, and i</w:t>
            </w:r>
            <w:r>
              <w:rPr>
                <w:sz w:val="24"/>
                <w:szCs w:val="24"/>
              </w:rPr>
              <w:t>f you continue to have questions, reach out to</w:t>
            </w:r>
            <w:r w:rsidR="0063263D">
              <w:rPr>
                <w:sz w:val="24"/>
                <w:szCs w:val="24"/>
              </w:rPr>
              <w:t xml:space="preserve"> </w:t>
            </w:r>
            <w:hyperlink r:id="rId10" w:history="1">
              <w:r w:rsidR="0063263D" w:rsidRPr="0063263D">
                <w:rPr>
                  <w:rStyle w:val="Hyperlink"/>
                  <w:sz w:val="24"/>
                  <w:szCs w:val="24"/>
                </w:rPr>
                <w:t>Bridgeview.service.agreements@bluecrossmn.com</w:t>
              </w:r>
            </w:hyperlink>
            <w:r>
              <w:rPr>
                <w:color w:val="0462C1"/>
                <w:sz w:val="24"/>
                <w:szCs w:val="24"/>
              </w:rPr>
              <w:t>.</w:t>
            </w:r>
          </w:p>
          <w:p w14:paraId="75E17022" w14:textId="05BE2BA2" w:rsidR="00520347" w:rsidRPr="00520347" w:rsidRDefault="00520347" w:rsidP="005301FC">
            <w:pPr>
              <w:spacing w:before="240" w:after="60"/>
              <w:rPr>
                <w:sz w:val="24"/>
                <w:szCs w:val="24"/>
              </w:rPr>
            </w:pPr>
            <w:r w:rsidRPr="00520347">
              <w:rPr>
                <w:sz w:val="24"/>
                <w:szCs w:val="24"/>
              </w:rPr>
              <w:t>In Add mode (you may also use the copy function)</w:t>
            </w:r>
            <w:r>
              <w:rPr>
                <w:sz w:val="24"/>
                <w:szCs w:val="24"/>
              </w:rPr>
              <w:t xml:space="preserve">, PCA Supervision- T1019 UA is the </w:t>
            </w:r>
            <w:r w:rsidRPr="005301FC">
              <w:rPr>
                <w:b/>
                <w:bCs/>
                <w:sz w:val="24"/>
                <w:szCs w:val="24"/>
              </w:rPr>
              <w:t>only</w:t>
            </w:r>
            <w:r>
              <w:rPr>
                <w:sz w:val="24"/>
                <w:szCs w:val="24"/>
              </w:rPr>
              <w:t xml:space="preserve"> option users will see in </w:t>
            </w:r>
            <w:r w:rsidR="004173B1">
              <w:rPr>
                <w:sz w:val="24"/>
                <w:szCs w:val="24"/>
              </w:rPr>
              <w:t>under the</w:t>
            </w:r>
            <w:r>
              <w:rPr>
                <w:sz w:val="24"/>
                <w:szCs w:val="24"/>
              </w:rPr>
              <w:t xml:space="preserve"> MA Plan Services drop-down.</w:t>
            </w:r>
            <w:r w:rsidR="00F91E2A">
              <w:rPr>
                <w:sz w:val="24"/>
                <w:szCs w:val="24"/>
              </w:rPr>
              <w:t xml:space="preserve">  </w:t>
            </w:r>
            <w:r w:rsidRPr="005301FC">
              <w:rPr>
                <w:b/>
                <w:bCs/>
                <w:sz w:val="24"/>
                <w:szCs w:val="24"/>
              </w:rPr>
              <w:t xml:space="preserve">*T1019 will </w:t>
            </w:r>
            <w:r w:rsidR="001C6EEC" w:rsidRPr="005301FC">
              <w:rPr>
                <w:b/>
                <w:bCs/>
                <w:sz w:val="24"/>
                <w:szCs w:val="24"/>
              </w:rPr>
              <w:t>display only</w:t>
            </w:r>
            <w:r w:rsidR="004173B1" w:rsidRPr="005301FC">
              <w:rPr>
                <w:b/>
                <w:bCs/>
                <w:sz w:val="24"/>
                <w:szCs w:val="24"/>
              </w:rPr>
              <w:t xml:space="preserve"> after PCA Supervision has been entered</w:t>
            </w:r>
            <w:r w:rsidRPr="005301FC">
              <w:rPr>
                <w:b/>
                <w:bCs/>
                <w:sz w:val="24"/>
                <w:szCs w:val="24"/>
              </w:rPr>
              <w:t>.</w:t>
            </w:r>
          </w:p>
          <w:p w14:paraId="6497CB06" w14:textId="77777777" w:rsidR="00520347" w:rsidRPr="00520347" w:rsidRDefault="00520347" w:rsidP="00520347">
            <w:pPr>
              <w:numPr>
                <w:ilvl w:val="0"/>
                <w:numId w:val="18"/>
              </w:numPr>
              <w:spacing w:before="60" w:after="60"/>
              <w:rPr>
                <w:sz w:val="24"/>
                <w:szCs w:val="24"/>
              </w:rPr>
            </w:pPr>
            <w:r w:rsidRPr="00520347">
              <w:rPr>
                <w:sz w:val="24"/>
                <w:szCs w:val="24"/>
              </w:rPr>
              <w:lastRenderedPageBreak/>
              <w:t>Enter the Provider NPI/UMPI number</w:t>
            </w:r>
          </w:p>
          <w:p w14:paraId="2E549CFE" w14:textId="6CFB9BEC" w:rsidR="00520347" w:rsidRPr="00520347" w:rsidRDefault="00520347" w:rsidP="00520347">
            <w:pPr>
              <w:numPr>
                <w:ilvl w:val="0"/>
                <w:numId w:val="18"/>
              </w:numPr>
              <w:spacing w:before="60" w:after="60"/>
              <w:rPr>
                <w:sz w:val="24"/>
                <w:szCs w:val="24"/>
              </w:rPr>
            </w:pPr>
            <w:r w:rsidRPr="00520347">
              <w:rPr>
                <w:sz w:val="24"/>
                <w:szCs w:val="24"/>
              </w:rPr>
              <w:t>Enter From and To Date</w:t>
            </w:r>
          </w:p>
          <w:p w14:paraId="7F1780C1" w14:textId="77777777" w:rsidR="00520347" w:rsidRPr="00520347" w:rsidRDefault="00520347" w:rsidP="00520347">
            <w:pPr>
              <w:numPr>
                <w:ilvl w:val="0"/>
                <w:numId w:val="18"/>
              </w:numPr>
              <w:spacing w:before="60" w:after="60"/>
              <w:rPr>
                <w:sz w:val="24"/>
                <w:szCs w:val="24"/>
              </w:rPr>
            </w:pPr>
            <w:r w:rsidRPr="00520347">
              <w:rPr>
                <w:sz w:val="24"/>
                <w:szCs w:val="24"/>
              </w:rPr>
              <w:t>Select Service Type MA Plan Services</w:t>
            </w:r>
          </w:p>
          <w:p w14:paraId="43B36D11" w14:textId="46B40FD7" w:rsidR="00520347" w:rsidRPr="00520347" w:rsidRDefault="00772DCE" w:rsidP="00520347">
            <w:pPr>
              <w:numPr>
                <w:ilvl w:val="0"/>
                <w:numId w:val="18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T1019 UA for Authorized Services</w:t>
            </w:r>
          </w:p>
          <w:p w14:paraId="556BEFE1" w14:textId="783ACB6E" w:rsidR="00520347" w:rsidRPr="00520347" w:rsidRDefault="00520347" w:rsidP="00520347">
            <w:pPr>
              <w:numPr>
                <w:ilvl w:val="0"/>
                <w:numId w:val="18"/>
              </w:numPr>
              <w:spacing w:before="60" w:after="60"/>
              <w:rPr>
                <w:sz w:val="24"/>
                <w:szCs w:val="24"/>
              </w:rPr>
            </w:pPr>
            <w:r w:rsidRPr="00520347">
              <w:rPr>
                <w:sz w:val="24"/>
                <w:szCs w:val="24"/>
              </w:rPr>
              <w:t>In service description add what you are authorizing</w:t>
            </w:r>
          </w:p>
          <w:p w14:paraId="0DE7E292" w14:textId="4C0AE64C" w:rsidR="002F4B83" w:rsidRDefault="002F4B83" w:rsidP="00520347">
            <w:pPr>
              <w:numPr>
                <w:ilvl w:val="0"/>
                <w:numId w:val="18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RN Supervision, u</w:t>
            </w:r>
            <w:r w:rsidR="00520347" w:rsidRPr="00520347">
              <w:rPr>
                <w:sz w:val="24"/>
                <w:szCs w:val="24"/>
              </w:rPr>
              <w:t>nits per day and days per week should be 0</w:t>
            </w:r>
            <w:r w:rsidR="003136C6">
              <w:rPr>
                <w:sz w:val="24"/>
                <w:szCs w:val="24"/>
              </w:rPr>
              <w:t xml:space="preserve"> </w:t>
            </w:r>
          </w:p>
          <w:p w14:paraId="28DE6840" w14:textId="65655750" w:rsidR="00520347" w:rsidRPr="00520347" w:rsidRDefault="002F4B83" w:rsidP="005301FC">
            <w:pPr>
              <w:numPr>
                <w:ilvl w:val="1"/>
                <w:numId w:val="18"/>
              </w:numPr>
              <w:spacing w:before="60" w:after="60"/>
              <w:rPr>
                <w:sz w:val="24"/>
                <w:szCs w:val="24"/>
              </w:rPr>
            </w:pPr>
            <w:r w:rsidRPr="005301FC">
              <w:rPr>
                <w:b/>
                <w:bCs/>
                <w:sz w:val="24"/>
                <w:szCs w:val="24"/>
              </w:rPr>
              <w:t xml:space="preserve"> </w:t>
            </w:r>
            <w:r w:rsidR="00176FE2">
              <w:rPr>
                <w:b/>
                <w:bCs/>
                <w:sz w:val="24"/>
                <w:szCs w:val="24"/>
              </w:rPr>
              <w:t>For</w:t>
            </w:r>
            <w:r w:rsidRPr="005301FC">
              <w:rPr>
                <w:b/>
                <w:bCs/>
                <w:sz w:val="24"/>
                <w:szCs w:val="24"/>
              </w:rPr>
              <w:t xml:space="preserve"> </w:t>
            </w:r>
            <w:r w:rsidR="00F32897" w:rsidRPr="005301FC">
              <w:rPr>
                <w:b/>
                <w:bCs/>
                <w:sz w:val="24"/>
                <w:szCs w:val="24"/>
              </w:rPr>
              <w:t>T</w:t>
            </w:r>
            <w:r w:rsidRPr="005301FC">
              <w:rPr>
                <w:b/>
                <w:bCs/>
                <w:sz w:val="24"/>
                <w:szCs w:val="24"/>
              </w:rPr>
              <w:t>1019 – PCA</w:t>
            </w:r>
            <w:r w:rsidR="00176FE2" w:rsidRPr="00176FE2">
              <w:rPr>
                <w:b/>
                <w:bCs/>
                <w:sz w:val="24"/>
                <w:szCs w:val="24"/>
              </w:rPr>
              <w:t xml:space="preserve">, </w:t>
            </w:r>
            <w:r w:rsidRPr="005301FC">
              <w:rPr>
                <w:b/>
                <w:bCs/>
                <w:sz w:val="24"/>
                <w:szCs w:val="24"/>
              </w:rPr>
              <w:t>in</w:t>
            </w:r>
            <w:r w:rsidR="0063263D" w:rsidRPr="005301FC">
              <w:rPr>
                <w:b/>
                <w:bCs/>
                <w:sz w:val="24"/>
                <w:szCs w:val="24"/>
              </w:rPr>
              <w:t>clude</w:t>
            </w:r>
            <w:r w:rsidRPr="005301FC">
              <w:rPr>
                <w:b/>
                <w:bCs/>
                <w:sz w:val="24"/>
                <w:szCs w:val="24"/>
              </w:rPr>
              <w:t xml:space="preserve"> units per day and days per week per the results of the completed assessment. </w:t>
            </w:r>
          </w:p>
          <w:p w14:paraId="77522D19" w14:textId="7BD37259" w:rsidR="00520347" w:rsidRPr="00520347" w:rsidRDefault="00520347" w:rsidP="00520347">
            <w:pPr>
              <w:numPr>
                <w:ilvl w:val="0"/>
                <w:numId w:val="18"/>
              </w:numPr>
              <w:spacing w:before="60" w:after="60"/>
              <w:rPr>
                <w:sz w:val="24"/>
                <w:szCs w:val="24"/>
              </w:rPr>
            </w:pPr>
            <w:r w:rsidRPr="00520347">
              <w:rPr>
                <w:sz w:val="24"/>
                <w:szCs w:val="24"/>
              </w:rPr>
              <w:t>Enter total units authorized for the To and From date span</w:t>
            </w:r>
          </w:p>
          <w:p w14:paraId="26990DB9" w14:textId="79D6BBD0" w:rsidR="00520347" w:rsidRDefault="00520347" w:rsidP="00520347">
            <w:pPr>
              <w:numPr>
                <w:ilvl w:val="0"/>
                <w:numId w:val="18"/>
              </w:numPr>
              <w:spacing w:before="60" w:after="60"/>
              <w:rPr>
                <w:sz w:val="24"/>
                <w:szCs w:val="24"/>
              </w:rPr>
            </w:pPr>
            <w:r w:rsidRPr="00520347">
              <w:rPr>
                <w:sz w:val="24"/>
                <w:szCs w:val="24"/>
              </w:rPr>
              <w:t>Frequency Select “Weekly</w:t>
            </w:r>
          </w:p>
          <w:p w14:paraId="752F38F9" w14:textId="1EFC3B25" w:rsidR="007C5A74" w:rsidRPr="00520347" w:rsidRDefault="007C5A74" w:rsidP="005301FC">
            <w:pPr>
              <w:numPr>
                <w:ilvl w:val="1"/>
                <w:numId w:val="18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263D">
              <w:rPr>
                <w:sz w:val="24"/>
                <w:szCs w:val="24"/>
              </w:rPr>
              <w:t>Applies to</w:t>
            </w:r>
            <w:r>
              <w:rPr>
                <w:sz w:val="24"/>
                <w:szCs w:val="24"/>
              </w:rPr>
              <w:t xml:space="preserve"> both T1019 UA – Supervision &amp;T1019 – PCA.</w:t>
            </w:r>
          </w:p>
          <w:p w14:paraId="58B02C93" w14:textId="77777777" w:rsidR="00520347" w:rsidRPr="00520347" w:rsidRDefault="00520347" w:rsidP="00520347">
            <w:pPr>
              <w:numPr>
                <w:ilvl w:val="0"/>
                <w:numId w:val="18"/>
              </w:numPr>
              <w:spacing w:before="60" w:after="60"/>
              <w:rPr>
                <w:sz w:val="24"/>
                <w:szCs w:val="24"/>
              </w:rPr>
            </w:pPr>
            <w:r w:rsidRPr="00520347">
              <w:rPr>
                <w:sz w:val="24"/>
                <w:szCs w:val="24"/>
              </w:rPr>
              <w:t>Ext Auth Status: Approved</w:t>
            </w:r>
          </w:p>
          <w:p w14:paraId="79AAF058" w14:textId="3DF00197" w:rsidR="00520347" w:rsidRPr="00520347" w:rsidRDefault="00520347" w:rsidP="00520347">
            <w:pPr>
              <w:numPr>
                <w:ilvl w:val="0"/>
                <w:numId w:val="18"/>
              </w:numPr>
              <w:spacing w:before="60" w:after="60"/>
              <w:rPr>
                <w:sz w:val="24"/>
                <w:szCs w:val="24"/>
              </w:rPr>
            </w:pPr>
            <w:r w:rsidRPr="00520347">
              <w:rPr>
                <w:sz w:val="24"/>
                <w:szCs w:val="24"/>
              </w:rPr>
              <w:t>Click the NEXT button to select a provider reason code</w:t>
            </w:r>
          </w:p>
          <w:p w14:paraId="2DD36438" w14:textId="77777777" w:rsidR="00520347" w:rsidRPr="00520347" w:rsidRDefault="00520347" w:rsidP="00520347">
            <w:pPr>
              <w:numPr>
                <w:ilvl w:val="0"/>
                <w:numId w:val="18"/>
              </w:numPr>
              <w:spacing w:before="60" w:after="60"/>
              <w:rPr>
                <w:sz w:val="24"/>
                <w:szCs w:val="24"/>
              </w:rPr>
            </w:pPr>
            <w:r w:rsidRPr="00520347">
              <w:rPr>
                <w:sz w:val="24"/>
                <w:szCs w:val="24"/>
              </w:rPr>
              <w:t xml:space="preserve">Select the appropriate </w:t>
            </w:r>
            <w:hyperlink r:id="rId11" w:history="1">
              <w:r w:rsidRPr="00520347">
                <w:rPr>
                  <w:rStyle w:val="Hyperlink"/>
                  <w:sz w:val="24"/>
                  <w:szCs w:val="24"/>
                </w:rPr>
                <w:t>provider reason code</w:t>
              </w:r>
            </w:hyperlink>
            <w:r w:rsidRPr="00520347">
              <w:rPr>
                <w:sz w:val="24"/>
                <w:szCs w:val="24"/>
              </w:rPr>
              <w:t xml:space="preserve"> (0010 for new)</w:t>
            </w:r>
          </w:p>
          <w:p w14:paraId="18EBCFFD" w14:textId="77777777" w:rsidR="007C5A74" w:rsidRDefault="00520347" w:rsidP="00520347">
            <w:pPr>
              <w:numPr>
                <w:ilvl w:val="0"/>
                <w:numId w:val="18"/>
              </w:numPr>
              <w:spacing w:before="60" w:after="60"/>
              <w:rPr>
                <w:sz w:val="24"/>
                <w:szCs w:val="24"/>
              </w:rPr>
            </w:pPr>
            <w:r w:rsidRPr="00520347">
              <w:rPr>
                <w:sz w:val="24"/>
                <w:szCs w:val="24"/>
              </w:rPr>
              <w:t xml:space="preserve">Select the appropriate </w:t>
            </w:r>
            <w:hyperlink r:id="rId12" w:history="1">
              <w:r w:rsidRPr="00520347">
                <w:rPr>
                  <w:rStyle w:val="Hyperlink"/>
                  <w:sz w:val="24"/>
                  <w:szCs w:val="24"/>
                </w:rPr>
                <w:t>member reason code</w:t>
              </w:r>
            </w:hyperlink>
            <w:r w:rsidRPr="00520347">
              <w:rPr>
                <w:sz w:val="24"/>
                <w:szCs w:val="24"/>
              </w:rPr>
              <w:t xml:space="preserve"> (0010 for new</w:t>
            </w:r>
            <w:r w:rsidR="00F91E2A">
              <w:rPr>
                <w:sz w:val="24"/>
                <w:szCs w:val="24"/>
              </w:rPr>
              <w:t>)</w:t>
            </w:r>
          </w:p>
          <w:p w14:paraId="35705C13" w14:textId="7E7ED616" w:rsidR="00520347" w:rsidRPr="00520347" w:rsidRDefault="005301FC" w:rsidP="00F91E2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2E80B05" wp14:editId="59A34FD8">
                  <wp:extent cx="5411283" cy="2942837"/>
                  <wp:effectExtent l="133350" t="95250" r="132715" b="86360"/>
                  <wp:docPr id="19002966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24474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64" cy="2968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29944D2" w14:textId="77777777" w:rsidR="00520347" w:rsidRDefault="00520347" w:rsidP="00456002">
            <w:pPr>
              <w:spacing w:before="60" w:after="60"/>
              <w:rPr>
                <w:sz w:val="24"/>
                <w:szCs w:val="24"/>
              </w:rPr>
            </w:pPr>
          </w:p>
          <w:p w14:paraId="2CA7AB64" w14:textId="27E48AF7" w:rsidR="00F91E2A" w:rsidRDefault="00F91E2A" w:rsidP="00F91E2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B3E054" wp14:editId="5B44298D">
                  <wp:extent cx="5378922" cy="1966919"/>
                  <wp:effectExtent l="114300" t="95250" r="107950" b="90805"/>
                  <wp:docPr id="484973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97303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511" cy="198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338D5F6" w14:textId="00FB10DF" w:rsidR="00456002" w:rsidRDefault="005301FC" w:rsidP="00F91E2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AC919D" wp14:editId="2180A269">
                  <wp:extent cx="5466584" cy="2305660"/>
                  <wp:effectExtent l="133350" t="95250" r="134620" b="95250"/>
                  <wp:docPr id="1653857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685" cy="234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4868B12" w14:textId="77777777" w:rsidR="005301FC" w:rsidRDefault="005301FC" w:rsidP="00F91E2A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66027E39" w14:textId="2FC21282" w:rsidR="00F91E2A" w:rsidRPr="00520347" w:rsidRDefault="005301FC" w:rsidP="00F91E2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23B7CD" wp14:editId="5E3139BB">
                  <wp:extent cx="5488882" cy="2236165"/>
                  <wp:effectExtent l="114300" t="95250" r="112395" b="88265"/>
                  <wp:docPr id="10376718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7622" cy="2260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4E23689" w14:textId="77777777" w:rsidR="00CA04A0" w:rsidRDefault="00CA04A0" w:rsidP="005301FC">
            <w:pPr>
              <w:jc w:val="center"/>
            </w:pPr>
          </w:p>
          <w:p w14:paraId="3553041B" w14:textId="3A6584DF" w:rsidR="00CA04A0" w:rsidRDefault="00F91E2A" w:rsidP="00F91E2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3A73C5F" wp14:editId="54A878DB">
                  <wp:extent cx="5614129" cy="1391739"/>
                  <wp:effectExtent l="133350" t="95250" r="139065" b="94615"/>
                  <wp:docPr id="19899634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492" cy="140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CD14D95" w14:textId="77777777" w:rsidR="00CA04A0" w:rsidRDefault="00CA04A0" w:rsidP="00CA04A0"/>
          <w:p w14:paraId="5B27F755" w14:textId="50207F62" w:rsidR="00B7132E" w:rsidRDefault="00B7132E" w:rsidP="005301FC">
            <w:pPr>
              <w:spacing w:before="60" w:after="60"/>
              <w:rPr>
                <w:color w:val="002060"/>
                <w:sz w:val="28"/>
                <w:szCs w:val="28"/>
                <w:u w:val="single"/>
              </w:rPr>
            </w:pPr>
          </w:p>
          <w:p w14:paraId="5B40072C" w14:textId="77777777" w:rsidR="007C5A74" w:rsidRDefault="007C5A74" w:rsidP="007C5A74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20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0077B" w14:textId="77777777" w:rsidR="0039523D" w:rsidRDefault="0039523D" w:rsidP="00BB1FFD">
      <w:pPr>
        <w:spacing w:after="0" w:line="240" w:lineRule="auto"/>
      </w:pPr>
      <w:r>
        <w:separator/>
      </w:r>
    </w:p>
  </w:endnote>
  <w:endnote w:type="continuationSeparator" w:id="0">
    <w:p w14:paraId="34DDFA45" w14:textId="77777777" w:rsidR="0039523D" w:rsidRDefault="0039523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36841" w14:textId="77777777" w:rsidR="0039523D" w:rsidRDefault="0039523D" w:rsidP="00BB1FFD">
      <w:pPr>
        <w:spacing w:after="0" w:line="240" w:lineRule="auto"/>
      </w:pPr>
      <w:r>
        <w:separator/>
      </w:r>
    </w:p>
  </w:footnote>
  <w:footnote w:type="continuationSeparator" w:id="0">
    <w:p w14:paraId="4543C349" w14:textId="77777777" w:rsidR="0039523D" w:rsidRDefault="0039523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CC4C06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6A2D8123" w:rsidR="00AF1D04" w:rsidRPr="00AF1D04" w:rsidRDefault="005301FC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12-3</w:t>
                          </w:r>
                          <w:r w:rsidR="004C0F7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6A2D8123" w:rsidR="00AF1D04" w:rsidRPr="00AF1D04" w:rsidRDefault="005301FC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12-3</w:t>
                    </w:r>
                    <w:r w:rsidR="004C0F7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7C27"/>
    <w:multiLevelType w:val="hybridMultilevel"/>
    <w:tmpl w:val="4AC8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0E05A4"/>
    <w:multiLevelType w:val="hybridMultilevel"/>
    <w:tmpl w:val="17CC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747E5"/>
    <w:multiLevelType w:val="hybridMultilevel"/>
    <w:tmpl w:val="1B40E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3D55CBA"/>
    <w:multiLevelType w:val="hybridMultilevel"/>
    <w:tmpl w:val="3438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4"/>
  </w:num>
  <w:num w:numId="2" w16cid:durableId="1797331095">
    <w:abstractNumId w:val="7"/>
  </w:num>
  <w:num w:numId="3" w16cid:durableId="214856249">
    <w:abstractNumId w:val="10"/>
  </w:num>
  <w:num w:numId="4" w16cid:durableId="1499616861">
    <w:abstractNumId w:val="16"/>
  </w:num>
  <w:num w:numId="5" w16cid:durableId="2073769093">
    <w:abstractNumId w:val="0"/>
  </w:num>
  <w:num w:numId="6" w16cid:durableId="18362904">
    <w:abstractNumId w:val="18"/>
  </w:num>
  <w:num w:numId="7" w16cid:durableId="495341996">
    <w:abstractNumId w:val="19"/>
  </w:num>
  <w:num w:numId="8" w16cid:durableId="195433800">
    <w:abstractNumId w:val="1"/>
  </w:num>
  <w:num w:numId="9" w16cid:durableId="2131320421">
    <w:abstractNumId w:val="12"/>
  </w:num>
  <w:num w:numId="10" w16cid:durableId="292836173">
    <w:abstractNumId w:val="8"/>
  </w:num>
  <w:num w:numId="11" w16cid:durableId="590047722">
    <w:abstractNumId w:val="3"/>
  </w:num>
  <w:num w:numId="12" w16cid:durableId="1674527007">
    <w:abstractNumId w:val="6"/>
  </w:num>
  <w:num w:numId="13" w16cid:durableId="1073697651">
    <w:abstractNumId w:val="5"/>
  </w:num>
  <w:num w:numId="14" w16cid:durableId="1167403472">
    <w:abstractNumId w:val="15"/>
  </w:num>
  <w:num w:numId="15" w16cid:durableId="1282767395">
    <w:abstractNumId w:val="17"/>
  </w:num>
  <w:num w:numId="16" w16cid:durableId="974333673">
    <w:abstractNumId w:val="9"/>
  </w:num>
  <w:num w:numId="17" w16cid:durableId="459761799">
    <w:abstractNumId w:val="13"/>
  </w:num>
  <w:num w:numId="18" w16cid:durableId="219093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0812174">
    <w:abstractNumId w:val="4"/>
  </w:num>
  <w:num w:numId="20" w16cid:durableId="1667977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032A1"/>
    <w:rsid w:val="000274AF"/>
    <w:rsid w:val="00043470"/>
    <w:rsid w:val="00054C13"/>
    <w:rsid w:val="000930DA"/>
    <w:rsid w:val="00094E93"/>
    <w:rsid w:val="00150443"/>
    <w:rsid w:val="00176FE2"/>
    <w:rsid w:val="001B355D"/>
    <w:rsid w:val="001C6EEC"/>
    <w:rsid w:val="00222CB4"/>
    <w:rsid w:val="002271B2"/>
    <w:rsid w:val="00287C94"/>
    <w:rsid w:val="002E7252"/>
    <w:rsid w:val="002F4B83"/>
    <w:rsid w:val="003136C6"/>
    <w:rsid w:val="0039523D"/>
    <w:rsid w:val="003B52CA"/>
    <w:rsid w:val="003B6143"/>
    <w:rsid w:val="003C1F8E"/>
    <w:rsid w:val="004173B1"/>
    <w:rsid w:val="00456002"/>
    <w:rsid w:val="004C0F7F"/>
    <w:rsid w:val="004D30F0"/>
    <w:rsid w:val="00520347"/>
    <w:rsid w:val="005301FC"/>
    <w:rsid w:val="005413CA"/>
    <w:rsid w:val="00542D0A"/>
    <w:rsid w:val="00547BA2"/>
    <w:rsid w:val="005626CB"/>
    <w:rsid w:val="00593671"/>
    <w:rsid w:val="005C7FFC"/>
    <w:rsid w:val="005E07CD"/>
    <w:rsid w:val="00605891"/>
    <w:rsid w:val="0063263D"/>
    <w:rsid w:val="00661EAF"/>
    <w:rsid w:val="00667838"/>
    <w:rsid w:val="00690495"/>
    <w:rsid w:val="00696BE2"/>
    <w:rsid w:val="006B5D91"/>
    <w:rsid w:val="006E59E2"/>
    <w:rsid w:val="00772DCE"/>
    <w:rsid w:val="007808B0"/>
    <w:rsid w:val="00782FDF"/>
    <w:rsid w:val="007A5F11"/>
    <w:rsid w:val="007C5A74"/>
    <w:rsid w:val="0080562D"/>
    <w:rsid w:val="00886F80"/>
    <w:rsid w:val="00887099"/>
    <w:rsid w:val="008877C2"/>
    <w:rsid w:val="008C6CC2"/>
    <w:rsid w:val="009044D6"/>
    <w:rsid w:val="00954AF8"/>
    <w:rsid w:val="00983353"/>
    <w:rsid w:val="00986E5D"/>
    <w:rsid w:val="009E3E35"/>
    <w:rsid w:val="009F0BDB"/>
    <w:rsid w:val="00A16F35"/>
    <w:rsid w:val="00A24223"/>
    <w:rsid w:val="00A35B3F"/>
    <w:rsid w:val="00A41441"/>
    <w:rsid w:val="00AA1C20"/>
    <w:rsid w:val="00AB049B"/>
    <w:rsid w:val="00AD5757"/>
    <w:rsid w:val="00AF1D04"/>
    <w:rsid w:val="00B7132E"/>
    <w:rsid w:val="00BB1FFD"/>
    <w:rsid w:val="00BC6139"/>
    <w:rsid w:val="00BC743A"/>
    <w:rsid w:val="00BD14B1"/>
    <w:rsid w:val="00BD6DF2"/>
    <w:rsid w:val="00C11835"/>
    <w:rsid w:val="00C608E4"/>
    <w:rsid w:val="00C675B8"/>
    <w:rsid w:val="00CA04A0"/>
    <w:rsid w:val="00CA1E33"/>
    <w:rsid w:val="00CA2A1A"/>
    <w:rsid w:val="00CF49F1"/>
    <w:rsid w:val="00D0703D"/>
    <w:rsid w:val="00D30B9D"/>
    <w:rsid w:val="00D5294C"/>
    <w:rsid w:val="00DD3C32"/>
    <w:rsid w:val="00DE1070"/>
    <w:rsid w:val="00E04C1E"/>
    <w:rsid w:val="00E16D93"/>
    <w:rsid w:val="00E359CB"/>
    <w:rsid w:val="00E53D14"/>
    <w:rsid w:val="00E91EBE"/>
    <w:rsid w:val="00E91FC0"/>
    <w:rsid w:val="00EC4AA6"/>
    <w:rsid w:val="00F32897"/>
    <w:rsid w:val="00F36B5F"/>
    <w:rsid w:val="00F3729A"/>
    <w:rsid w:val="00F5483A"/>
    <w:rsid w:val="00F610EE"/>
    <w:rsid w:val="00F66DEC"/>
    <w:rsid w:val="00F91E2A"/>
    <w:rsid w:val="00FC5F7D"/>
    <w:rsid w:val="00FD54AE"/>
    <w:rsid w:val="00F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customStyle="1" w:styleId="Default">
    <w:name w:val="Default"/>
    <w:rsid w:val="001C6E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B52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4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8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930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coordination.bluecrossmn.com/wp-content/uploads/2023/05/Bridgeview-Instructions-for-Clearing-Cache.docx" TargetMode="External"/><Relationship Id="rId13" Type="http://schemas.openxmlformats.org/officeDocument/2006/relationships/image" Target="media/image1.png"/><Relationship Id="rId18" Type="http://schemas.openxmlformats.org/officeDocument/2006/relationships/image" Target="cid:image003.png@01DB4581.0AA69A7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ridgeview.ewproviders@bluecrossmn.com" TargetMode="External"/><Relationship Id="rId12" Type="http://schemas.openxmlformats.org/officeDocument/2006/relationships/hyperlink" Target="https://carecoordination.bluecrossmn.com/wp-content/uploads/2022/05/Service-Agreement-Provider-Member-Reason-Codes.pdf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cid:image001.png@01DB4580.EBB06CE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ecoordination.bluecrossmn.com/wp-content/uploads/2022/05/Service-Agreement-Provider-Member-Reason-Codes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Bridgeview.service.agreements@bluecrossmn.com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carecoordination.bluecrossmn.com/bridgeview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663</Words>
  <Characters>3783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Ness, Cate</cp:lastModifiedBy>
  <cp:revision>4</cp:revision>
  <cp:lastPrinted>2023-04-13T19:37:00Z</cp:lastPrinted>
  <dcterms:created xsi:type="dcterms:W3CDTF">2024-12-03T18:54:00Z</dcterms:created>
  <dcterms:modified xsi:type="dcterms:W3CDTF">2024-12-03T20:10:00Z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22c332-444a-4254-b930-8cf70d5ef151_Enabled">
    <vt:lpwstr>true</vt:lpwstr>
  </property>
  <property fmtid="{D5CDD505-2E9C-101B-9397-08002B2CF9AE}" pid="3" name="MSIP_Label_f022c332-444a-4254-b930-8cf70d5ef151_SetDate">
    <vt:lpwstr>2024-11-25T22:36:41Z</vt:lpwstr>
  </property>
  <property fmtid="{D5CDD505-2E9C-101B-9397-08002B2CF9AE}" pid="4" name="MSIP_Label_f022c332-444a-4254-b930-8cf70d5ef151_Method">
    <vt:lpwstr>Standard</vt:lpwstr>
  </property>
  <property fmtid="{D5CDD505-2E9C-101B-9397-08002B2CF9AE}" pid="5" name="MSIP_Label_f022c332-444a-4254-b930-8cf70d5ef151_Name">
    <vt:lpwstr>Confidential</vt:lpwstr>
  </property>
  <property fmtid="{D5CDD505-2E9C-101B-9397-08002B2CF9AE}" pid="6" name="MSIP_Label_f022c332-444a-4254-b930-8cf70d5ef151_SiteId">
    <vt:lpwstr>f2cae92a-8892-4e20-96c4-6ad7ba8f0e72</vt:lpwstr>
  </property>
  <property fmtid="{D5CDD505-2E9C-101B-9397-08002B2CF9AE}" pid="7" name="MSIP_Label_f022c332-444a-4254-b930-8cf70d5ef151_ActionId">
    <vt:lpwstr>b50d5dc8-738f-4eb9-ba8d-adabda23e541</vt:lpwstr>
  </property>
  <property fmtid="{D5CDD505-2E9C-101B-9397-08002B2CF9AE}" pid="8" name="MSIP_Label_f022c332-444a-4254-b930-8cf70d5ef151_ContentBits">
    <vt:lpwstr>0</vt:lpwstr>
  </property>
</Properties>
</file>