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44E23689" w14:textId="6D28B1D1" w:rsidR="00CA04A0" w:rsidRPr="00C402D9" w:rsidRDefault="00C608E4" w:rsidP="00C402D9">
            <w:pPr>
              <w:spacing w:before="60" w:after="60"/>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61737AA7">
                      <wp:simplePos x="0" y="0"/>
                      <wp:positionH relativeFrom="column">
                        <wp:posOffset>7620</wp:posOffset>
                      </wp:positionH>
                      <wp:positionV relativeFrom="paragraph">
                        <wp:posOffset>57150</wp:posOffset>
                      </wp:positionV>
                      <wp:extent cx="7162800" cy="95250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52500"/>
                              </a:xfrm>
                              <a:prstGeom prst="rect">
                                <a:avLst/>
                              </a:prstGeom>
                              <a:solidFill>
                                <a:srgbClr val="FFFFFF"/>
                              </a:solidFill>
                              <a:ln w="9525">
                                <a:noFill/>
                                <a:miter lim="800000"/>
                                <a:headEnd/>
                                <a:tailEnd/>
                              </a:ln>
                            </wps:spPr>
                            <wps:txbx>
                              <w:txbxContent>
                                <w:p w14:paraId="1D4BA1CD" w14:textId="61ED43BA" w:rsidR="00C608E4" w:rsidRDefault="00946788" w:rsidP="00C608E4">
                                  <w:pPr>
                                    <w:jc w:val="center"/>
                                    <w:rPr>
                                      <w:color w:val="002060"/>
                                      <w:sz w:val="48"/>
                                      <w:szCs w:val="48"/>
                                    </w:rPr>
                                  </w:pPr>
                                  <w:r>
                                    <w:rPr>
                                      <w:color w:val="002060"/>
                                      <w:sz w:val="48"/>
                                      <w:szCs w:val="48"/>
                                    </w:rPr>
                                    <w:t>MnCHOICES Assessor Certification Status Report &amp; Monitoring Instructions</w:t>
                                  </w:r>
                                </w:p>
                                <w:p w14:paraId="0F57DB3C" w14:textId="77777777" w:rsidR="00946788" w:rsidRPr="00C608E4" w:rsidRDefault="00946788" w:rsidP="00C608E4">
                                  <w:pPr>
                                    <w:jc w:val="center"/>
                                    <w:rPr>
                                      <w:color w:val="00206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6pt;margin-top:4.5pt;width:56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R6BwIAAPY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" stroked="f">
                      <v:textbox>
                        <w:txbxContent>
                          <w:p w14:paraId="1D4BA1CD" w14:textId="61ED43BA" w:rsidR="00C608E4" w:rsidRDefault="00946788" w:rsidP="00C608E4">
                            <w:pPr>
                              <w:jc w:val="center"/>
                              <w:rPr>
                                <w:color w:val="002060"/>
                                <w:sz w:val="48"/>
                                <w:szCs w:val="48"/>
                              </w:rPr>
                            </w:pPr>
                            <w:r>
                              <w:rPr>
                                <w:color w:val="002060"/>
                                <w:sz w:val="48"/>
                                <w:szCs w:val="48"/>
                              </w:rPr>
                              <w:t>MnCHOICES Assessor Certification Status Report &amp; Monitoring Instructions</w:t>
                            </w:r>
                          </w:p>
                          <w:p w14:paraId="0F57DB3C" w14:textId="77777777" w:rsidR="00946788" w:rsidRPr="00C608E4" w:rsidRDefault="00946788" w:rsidP="00C608E4">
                            <w:pPr>
                              <w:jc w:val="center"/>
                              <w:rPr>
                                <w:color w:val="002060"/>
                                <w:sz w:val="48"/>
                                <w:szCs w:val="48"/>
                              </w:rPr>
                            </w:pPr>
                          </w:p>
                        </w:txbxContent>
                      </v:textbox>
                      <w10:wrap type="square"/>
                    </v:shape>
                  </w:pict>
                </mc:Fallback>
              </mc:AlternateContent>
            </w:r>
          </w:p>
          <w:p w14:paraId="1EFD9A6C" w14:textId="77777777" w:rsidR="00946788" w:rsidRPr="00946788" w:rsidRDefault="00946788" w:rsidP="00946788">
            <w:pPr>
              <w:spacing w:after="200" w:line="264" w:lineRule="auto"/>
              <w:jc w:val="center"/>
              <w:rPr>
                <w:rFonts w:ascii="Calibri" w:eastAsia="Aptos" w:hAnsi="Calibri" w:cs="Calibri"/>
                <w14:ligatures w14:val="standardContextual"/>
              </w:rPr>
            </w:pPr>
            <w:bookmarkStart w:id="0" w:name="_Hlk144806762"/>
            <w:bookmarkStart w:id="1" w:name="_Hlk166496560"/>
            <w:bookmarkStart w:id="2" w:name="_Hlk181170015"/>
            <w:r w:rsidRPr="00946788">
              <w:rPr>
                <w:rFonts w:ascii="Calibri" w:eastAsia="Aptos" w:hAnsi="Calibri" w:cs="Calibri"/>
                <w:noProof/>
              </w:rPr>
              <w:drawing>
                <wp:inline distT="0" distB="0" distL="0" distR="0" wp14:anchorId="577B11A8" wp14:editId="7F1E0C43">
                  <wp:extent cx="3086100" cy="608209"/>
                  <wp:effectExtent l="0" t="0" r="0" b="1905"/>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88934" cy="608767"/>
                          </a:xfrm>
                          <a:prstGeom prst="rect">
                            <a:avLst/>
                          </a:prstGeom>
                          <a:noFill/>
                          <a:ln>
                            <a:noFill/>
                          </a:ln>
                        </pic:spPr>
                      </pic:pic>
                    </a:graphicData>
                  </a:graphic>
                </wp:inline>
              </w:drawing>
            </w:r>
          </w:p>
          <w:p w14:paraId="0219D71D" w14:textId="77777777" w:rsidR="00946788" w:rsidRPr="00C402D9" w:rsidRDefault="00946788" w:rsidP="00946788">
            <w:pPr>
              <w:keepNext/>
              <w:spacing w:before="360" w:line="264" w:lineRule="auto"/>
              <w:outlineLvl w:val="1"/>
              <w:rPr>
                <w:rFonts w:ascii="Calibri" w:eastAsia="Times New Roman" w:hAnsi="Calibri" w:cs="Calibri"/>
                <w:b/>
                <w:bCs/>
                <w:color w:val="4472C4"/>
                <w:sz w:val="28"/>
                <w:szCs w:val="28"/>
                <w14:ligatures w14:val="standardContextual"/>
              </w:rPr>
            </w:pPr>
            <w:bookmarkStart w:id="3" w:name="_Hlk181170884"/>
            <w:bookmarkEnd w:id="0"/>
            <w:bookmarkEnd w:id="1"/>
            <w:r w:rsidRPr="00C402D9">
              <w:rPr>
                <w:rFonts w:ascii="Calibri" w:eastAsia="Times New Roman" w:hAnsi="Calibri" w:cs="Calibri"/>
                <w:b/>
                <w:bCs/>
                <w:color w:val="4472C4"/>
                <w:sz w:val="28"/>
                <w:szCs w:val="28"/>
                <w14:ligatures w14:val="standardContextual"/>
              </w:rPr>
              <w:t xml:space="preserve">Purpose: </w:t>
            </w:r>
          </w:p>
          <w:p w14:paraId="345E17A7" w14:textId="77777777" w:rsidR="00946788" w:rsidRPr="00C402D9" w:rsidRDefault="00946788" w:rsidP="00946788">
            <w:pPr>
              <w:spacing w:after="200" w:line="264" w:lineRule="auto"/>
              <w:rPr>
                <w:rFonts w:ascii="Calibri" w:eastAsia="Aptos" w:hAnsi="Calibri" w:cs="Calibri"/>
                <w:sz w:val="24"/>
                <w:szCs w:val="24"/>
                <w14:ligatures w14:val="standardContextual"/>
              </w:rPr>
            </w:pPr>
            <w:r w:rsidRPr="00C402D9">
              <w:rPr>
                <w:rFonts w:ascii="Calibri" w:eastAsia="Aptos" w:hAnsi="Calibri" w:cs="Calibri"/>
                <w:sz w:val="24"/>
                <w:szCs w:val="24"/>
                <w14:ligatures w14:val="standardContextual"/>
              </w:rPr>
              <w:t xml:space="preserve">To announce the release of the MnCHOICES application’s Assessor Certification Status report and provide instructions to lead agencies to monitor their assessor’s certification using the report. Mentors must share the instructions for monitoring assessor certification and use of the Assessor Certification Status report. </w:t>
            </w:r>
          </w:p>
          <w:p w14:paraId="18BE2A47" w14:textId="77777777" w:rsidR="00946788" w:rsidRPr="00C402D9" w:rsidRDefault="00946788" w:rsidP="00946788">
            <w:pPr>
              <w:keepNext/>
              <w:spacing w:before="360" w:line="264" w:lineRule="auto"/>
              <w:outlineLvl w:val="1"/>
              <w:rPr>
                <w:rFonts w:ascii="Calibri" w:eastAsia="Times New Roman" w:hAnsi="Calibri" w:cs="Calibri"/>
                <w:b/>
                <w:bCs/>
                <w:color w:val="4472C4"/>
                <w:sz w:val="28"/>
                <w:szCs w:val="28"/>
                <w14:ligatures w14:val="standardContextual"/>
              </w:rPr>
            </w:pPr>
            <w:r w:rsidRPr="00C402D9">
              <w:rPr>
                <w:rFonts w:ascii="Calibri" w:eastAsia="Times New Roman" w:hAnsi="Calibri" w:cs="Calibri"/>
                <w:b/>
                <w:bCs/>
                <w:color w:val="4472C4"/>
                <w:sz w:val="28"/>
                <w:szCs w:val="28"/>
                <w14:ligatures w14:val="standardContextual"/>
              </w:rPr>
              <w:t>Monitoring assessor certification:</w:t>
            </w:r>
          </w:p>
          <w:p w14:paraId="5268B0A5" w14:textId="77777777" w:rsidR="00946788" w:rsidRPr="00C402D9" w:rsidRDefault="00946788" w:rsidP="00946788">
            <w:pPr>
              <w:spacing w:after="200" w:line="264" w:lineRule="auto"/>
              <w:rPr>
                <w:rFonts w:ascii="Calibri" w:eastAsia="Aptos" w:hAnsi="Calibri" w:cs="Calibri"/>
                <w:sz w:val="24"/>
                <w:szCs w:val="24"/>
                <w14:ligatures w14:val="standardContextual"/>
              </w:rPr>
            </w:pPr>
            <w:r w:rsidRPr="00C402D9">
              <w:rPr>
                <w:rFonts w:ascii="Calibri" w:eastAsia="Aptos" w:hAnsi="Calibri" w:cs="Calibri"/>
                <w:sz w:val="24"/>
                <w:szCs w:val="24"/>
                <w14:ligatures w14:val="standardContextual"/>
              </w:rPr>
              <w:t>Lead agencies are responsible to closely monitor the certification status of their MnCHOICES certified assessors. The Assessor Certification Status report will replace the Statewide list of Certified Assessors as the reference system available to verify certification periods for each certified assessor.</w:t>
            </w:r>
          </w:p>
          <w:p w14:paraId="154D9564" w14:textId="77777777" w:rsidR="00946788" w:rsidRPr="00C402D9" w:rsidRDefault="00946788" w:rsidP="00946788">
            <w:pPr>
              <w:spacing w:before="240" w:after="200" w:line="264" w:lineRule="auto"/>
              <w:rPr>
                <w:rFonts w:ascii="Calibri" w:eastAsia="Aptos" w:hAnsi="Calibri" w:cs="Calibri"/>
                <w:sz w:val="24"/>
                <w:szCs w:val="24"/>
                <w14:ligatures w14:val="standardContextual"/>
              </w:rPr>
            </w:pPr>
            <w:r w:rsidRPr="00C402D9">
              <w:rPr>
                <w:rFonts w:ascii="Calibri" w:eastAsia="Aptos" w:hAnsi="Calibri" w:cs="Calibri"/>
                <w:sz w:val="24"/>
                <w:szCs w:val="24"/>
                <w14:ligatures w14:val="standardContextual"/>
              </w:rPr>
              <w:t xml:space="preserve">Training completion dates are part of the staff member profile (credentials) within the MnCHOICES application. When an assessor generates their certificate in </w:t>
            </w:r>
            <w:proofErr w:type="spellStart"/>
            <w:r w:rsidRPr="00C402D9">
              <w:rPr>
                <w:rFonts w:ascii="Calibri" w:eastAsia="Aptos" w:hAnsi="Calibri" w:cs="Calibri"/>
                <w:sz w:val="24"/>
                <w:szCs w:val="24"/>
                <w14:ligatures w14:val="standardContextual"/>
              </w:rPr>
              <w:t>TrainLink</w:t>
            </w:r>
            <w:proofErr w:type="spellEnd"/>
            <w:r w:rsidRPr="00C402D9">
              <w:rPr>
                <w:rFonts w:ascii="Calibri" w:eastAsia="Aptos" w:hAnsi="Calibri" w:cs="Calibri"/>
                <w:sz w:val="24"/>
                <w:szCs w:val="24"/>
                <w14:ligatures w14:val="standardContextual"/>
              </w:rPr>
              <w:t xml:space="preserve"> their data is updated in the database. Each night, assessor certification data is sent to MnCHOICES from the assessor credential database. The Assessor Certification Status report compiles the training completion data for the use of lead agencies in monitoring their assessor’s certifications.</w:t>
            </w:r>
          </w:p>
          <w:p w14:paraId="0E70C955" w14:textId="77777777" w:rsidR="00C402D9" w:rsidRDefault="00C402D9" w:rsidP="00946788">
            <w:pPr>
              <w:keepNext/>
              <w:spacing w:before="240" w:line="264" w:lineRule="auto"/>
              <w:outlineLvl w:val="2"/>
              <w:rPr>
                <w:rFonts w:ascii="Calibri" w:eastAsia="Times New Roman" w:hAnsi="Calibri" w:cs="Calibri"/>
                <w:b/>
                <w:bCs/>
                <w:color w:val="4472C4"/>
                <w:sz w:val="28"/>
                <w:szCs w:val="28"/>
                <w14:ligatures w14:val="standardContextual"/>
              </w:rPr>
            </w:pPr>
            <w:bookmarkStart w:id="4" w:name="_Toc163827930"/>
          </w:p>
          <w:p w14:paraId="5C68E2EF" w14:textId="5571EBD2" w:rsidR="00946788" w:rsidRPr="00C402D9" w:rsidRDefault="00946788" w:rsidP="00946788">
            <w:pPr>
              <w:keepNext/>
              <w:spacing w:before="240" w:line="264" w:lineRule="auto"/>
              <w:outlineLvl w:val="2"/>
              <w:rPr>
                <w:rFonts w:ascii="Calibri" w:eastAsia="Times New Roman" w:hAnsi="Calibri" w:cs="Calibri"/>
                <w:b/>
                <w:bCs/>
                <w:color w:val="4472C4"/>
                <w:sz w:val="28"/>
                <w:szCs w:val="28"/>
                <w14:ligatures w14:val="standardContextual"/>
              </w:rPr>
            </w:pPr>
            <w:r w:rsidRPr="00C402D9">
              <w:rPr>
                <w:rFonts w:ascii="Calibri" w:eastAsia="Times New Roman" w:hAnsi="Calibri" w:cs="Calibri"/>
                <w:b/>
                <w:bCs/>
                <w:color w:val="4472C4"/>
                <w:sz w:val="28"/>
                <w:szCs w:val="28"/>
                <w14:ligatures w14:val="standardContextual"/>
              </w:rPr>
              <w:lastRenderedPageBreak/>
              <w:t>Lead agency supervisor/manager</w:t>
            </w:r>
            <w:bookmarkEnd w:id="4"/>
            <w:r w:rsidRPr="00C402D9">
              <w:rPr>
                <w:rFonts w:ascii="Calibri" w:eastAsia="Times New Roman" w:hAnsi="Calibri" w:cs="Calibri"/>
                <w:b/>
                <w:bCs/>
                <w:color w:val="4472C4"/>
                <w:sz w:val="28"/>
                <w:szCs w:val="28"/>
                <w14:ligatures w14:val="standardContextual"/>
              </w:rPr>
              <w:t xml:space="preserve"> responsibility:</w:t>
            </w:r>
          </w:p>
          <w:p w14:paraId="3ED6E136" w14:textId="77777777" w:rsidR="00946788" w:rsidRPr="00C402D9" w:rsidRDefault="00946788" w:rsidP="00946788">
            <w:pPr>
              <w:spacing w:after="200" w:line="264" w:lineRule="auto"/>
              <w:rPr>
                <w:rFonts w:ascii="Calibri" w:eastAsia="Aptos" w:hAnsi="Calibri" w:cs="Calibri"/>
                <w:sz w:val="24"/>
                <w:szCs w:val="24"/>
                <w14:ligatures w14:val="standardContextual"/>
              </w:rPr>
            </w:pPr>
            <w:r w:rsidRPr="00C402D9">
              <w:rPr>
                <w:rFonts w:ascii="Calibri" w:eastAsia="Aptos" w:hAnsi="Calibri" w:cs="Calibri"/>
                <w:sz w:val="24"/>
                <w:szCs w:val="24"/>
                <w14:ligatures w14:val="standardContextual"/>
              </w:rPr>
              <w:t xml:space="preserve">Review the Assessor Certification Status report in the MnCHOICES application each month to monitor assessors to make sure their certification has not lapsed. Lead agencies will prompt their staff to complete the recertification module within 30 days from the date of their last certification. Agencies will follow the </w:t>
            </w:r>
            <w:hyperlink r:id="rId9" w:history="1">
              <w:r w:rsidRPr="00C402D9">
                <w:rPr>
                  <w:rFonts w:ascii="Calibri" w:eastAsia="Aptos" w:hAnsi="Calibri" w:cs="Calibri"/>
                  <w:color w:val="0563C1"/>
                  <w:sz w:val="24"/>
                  <w:szCs w:val="24"/>
                  <w:u w:val="single"/>
                  <w14:ligatures w14:val="standardContextual"/>
                </w:rPr>
                <w:t>Recertification Instructions</w:t>
              </w:r>
            </w:hyperlink>
            <w:r w:rsidRPr="00C402D9">
              <w:rPr>
                <w:rFonts w:ascii="Calibri" w:eastAsia="Aptos" w:hAnsi="Calibri" w:cs="Calibri"/>
                <w:sz w:val="24"/>
                <w:szCs w:val="24"/>
                <w14:ligatures w14:val="standardContextual"/>
              </w:rPr>
              <w:t>.</w:t>
            </w:r>
          </w:p>
          <w:bookmarkEnd w:id="3"/>
          <w:p w14:paraId="548AAE28" w14:textId="77777777" w:rsidR="00946788" w:rsidRPr="00C402D9" w:rsidRDefault="00946788" w:rsidP="00946788">
            <w:pPr>
              <w:keepNext/>
              <w:spacing w:before="240" w:line="264" w:lineRule="auto"/>
              <w:outlineLvl w:val="2"/>
              <w:rPr>
                <w:rFonts w:ascii="Calibri" w:eastAsia="Times New Roman" w:hAnsi="Calibri" w:cs="Calibri"/>
                <w:b/>
                <w:bCs/>
                <w:color w:val="4472C4"/>
                <w:sz w:val="26"/>
                <w:szCs w:val="26"/>
                <w14:ligatures w14:val="standardContextual"/>
              </w:rPr>
            </w:pPr>
            <w:r w:rsidRPr="00C402D9">
              <w:rPr>
                <w:rFonts w:ascii="Calibri" w:eastAsia="Times New Roman" w:hAnsi="Calibri" w:cs="Calibri"/>
                <w:b/>
                <w:bCs/>
                <w:color w:val="4472C4"/>
                <w:sz w:val="26"/>
                <w:szCs w:val="26"/>
                <w14:ligatures w14:val="standardContextual"/>
              </w:rPr>
              <w:t>DHS responsibility:</w:t>
            </w:r>
          </w:p>
          <w:p w14:paraId="674810B1" w14:textId="77777777" w:rsidR="00946788" w:rsidRPr="00C402D9" w:rsidRDefault="00946788" w:rsidP="00946788">
            <w:pPr>
              <w:spacing w:after="200" w:line="264" w:lineRule="auto"/>
              <w:rPr>
                <w:rFonts w:ascii="Arial" w:eastAsia="Aptos" w:hAnsi="Arial" w:cs="Arial"/>
                <w:sz w:val="28"/>
                <w:szCs w:val="28"/>
                <w14:ligatures w14:val="standardContextual"/>
              </w:rPr>
            </w:pPr>
            <w:r w:rsidRPr="00C402D9">
              <w:rPr>
                <w:rFonts w:ascii="Calibri" w:eastAsia="Aptos" w:hAnsi="Calibri" w:cs="Calibri"/>
                <w:sz w:val="24"/>
                <w:szCs w:val="24"/>
                <w14:ligatures w14:val="standardContextual"/>
              </w:rPr>
              <w:t xml:space="preserve">Complete a quarterly review of the Assessor Certification Status report for certifications that have lapsed passed 30 days. DHS will follow its </w:t>
            </w:r>
            <w:hyperlink r:id="rId10" w:history="1">
              <w:r w:rsidRPr="00C402D9">
                <w:rPr>
                  <w:rFonts w:ascii="Calibri" w:eastAsia="Aptos" w:hAnsi="Calibri" w:cs="Calibri"/>
                  <w:color w:val="0563C1"/>
                  <w:sz w:val="24"/>
                  <w:szCs w:val="24"/>
                  <w:u w:val="single"/>
                  <w14:ligatures w14:val="standardContextual"/>
                </w:rPr>
                <w:t>Lapsed certified assessor audit protocol</w:t>
              </w:r>
            </w:hyperlink>
            <w:r w:rsidRPr="00C402D9">
              <w:rPr>
                <w:rFonts w:ascii="Calibri" w:eastAsia="Aptos" w:hAnsi="Calibri" w:cs="Calibri"/>
                <w:sz w:val="24"/>
                <w:szCs w:val="24"/>
                <w14:ligatures w14:val="standardContextual"/>
              </w:rPr>
              <w:t xml:space="preserve"> of Certified Assessor monitoring.</w:t>
            </w:r>
          </w:p>
          <w:p w14:paraId="52B5402C" w14:textId="77777777" w:rsidR="00946788" w:rsidRPr="00C402D9" w:rsidRDefault="00946788" w:rsidP="00946788">
            <w:pPr>
              <w:keepNext/>
              <w:spacing w:before="360" w:line="264" w:lineRule="auto"/>
              <w:outlineLvl w:val="1"/>
              <w:rPr>
                <w:rFonts w:ascii="Calibri" w:eastAsia="Times New Roman" w:hAnsi="Calibri" w:cs="Calibri"/>
                <w:b/>
                <w:bCs/>
                <w:color w:val="4472C4"/>
                <w:sz w:val="28"/>
                <w:szCs w:val="28"/>
                <w14:ligatures w14:val="standardContextual"/>
              </w:rPr>
            </w:pPr>
            <w:r w:rsidRPr="00C402D9">
              <w:rPr>
                <w:rFonts w:ascii="Calibri" w:eastAsia="Times New Roman" w:hAnsi="Calibri" w:cs="Calibri"/>
                <w:b/>
                <w:bCs/>
                <w:color w:val="4472C4"/>
                <w:sz w:val="28"/>
                <w:szCs w:val="28"/>
                <w14:ligatures w14:val="standardContextual"/>
              </w:rPr>
              <w:t>Assessor Certification Status report:</w:t>
            </w:r>
          </w:p>
          <w:sdt>
            <w:sdtPr>
              <w:rPr>
                <w:rFonts w:ascii="Calibri" w:eastAsia="Aptos" w:hAnsi="Calibri" w:cs="Calibri"/>
                <w:b/>
                <w:bCs/>
                <w:sz w:val="24"/>
                <w:szCs w:val="24"/>
              </w:rPr>
              <w:id w:val="-1153748226"/>
              <w:docPartObj>
                <w:docPartGallery w:val="Cover Pages"/>
                <w:docPartUnique/>
              </w:docPartObj>
            </w:sdtPr>
            <w:sdtEndPr/>
            <w:sdtContent>
              <w:p w14:paraId="0E6BCB14" w14:textId="77777777" w:rsidR="00946788" w:rsidRPr="00C402D9" w:rsidRDefault="00946788" w:rsidP="00C402D9">
                <w:pPr>
                  <w:rPr>
                    <w:rFonts w:ascii="Calibri" w:eastAsia="Aptos" w:hAnsi="Calibri" w:cs="Calibri"/>
                    <w:sz w:val="24"/>
                    <w:szCs w:val="24"/>
                    <w14:ligatures w14:val="standardContextual"/>
                  </w:rPr>
                </w:pPr>
                <w:r w:rsidRPr="00C402D9">
                  <w:rPr>
                    <w:rFonts w:ascii="Calibri" w:eastAsia="Aptos" w:hAnsi="Calibri" w:cs="Calibri"/>
                    <w:sz w:val="24"/>
                    <w:szCs w:val="24"/>
                    <w14:ligatures w14:val="standardContextual"/>
                  </w:rPr>
                  <w:t xml:space="preserve">The </w:t>
                </w:r>
                <w:bookmarkStart w:id="5" w:name="_Hlk181769159"/>
                <w:r w:rsidRPr="00C402D9">
                  <w:rPr>
                    <w:rFonts w:ascii="Calibri" w:eastAsia="Aptos" w:hAnsi="Calibri" w:cs="Calibri"/>
                    <w:sz w:val="24"/>
                    <w:szCs w:val="24"/>
                    <w14:ligatures w14:val="standardContextual"/>
                  </w:rPr>
                  <w:t>Assessor Certification Status</w:t>
                </w:r>
                <w:bookmarkEnd w:id="5"/>
                <w:r w:rsidRPr="00C402D9">
                  <w:rPr>
                    <w:rFonts w:ascii="Calibri" w:eastAsia="Aptos" w:hAnsi="Calibri" w:cs="Calibri"/>
                    <w:sz w:val="24"/>
                    <w:szCs w:val="24"/>
                    <w14:ligatures w14:val="standardContextual"/>
                  </w:rPr>
                  <w:t xml:space="preserve"> report </w:t>
                </w:r>
                <w:bookmarkStart w:id="6" w:name="_Hlk181769176"/>
                <w:r w:rsidRPr="00C402D9">
                  <w:rPr>
                    <w:rFonts w:ascii="Calibri" w:eastAsia="Aptos" w:hAnsi="Calibri" w:cs="Calibri"/>
                    <w:sz w:val="24"/>
                    <w:szCs w:val="24"/>
                    <w14:ligatures w14:val="standardContextual"/>
                  </w:rPr>
                  <w:t xml:space="preserve">is in the MnCHOICES </w:t>
                </w:r>
                <w:bookmarkEnd w:id="6"/>
                <w:r w:rsidRPr="00C402D9">
                  <w:rPr>
                    <w:rFonts w:ascii="Calibri" w:eastAsia="Aptos" w:hAnsi="Calibri" w:cs="Calibri"/>
                    <w:sz w:val="24"/>
                    <w:szCs w:val="24"/>
                    <w14:ligatures w14:val="standardContextual"/>
                  </w:rPr>
                  <w:t xml:space="preserve">application. </w:t>
                </w:r>
                <w:bookmarkStart w:id="7" w:name="_Hlk181769196"/>
                <w:r w:rsidRPr="00C402D9">
                  <w:rPr>
                    <w:rFonts w:ascii="Calibri" w:eastAsia="Aptos" w:hAnsi="Calibri" w:cs="Calibri"/>
                    <w:sz w:val="24"/>
                    <w:szCs w:val="24"/>
                    <w14:ligatures w14:val="standardContextual"/>
                  </w:rPr>
                  <w:t xml:space="preserve">Staff members with these roles can </w:t>
                </w:r>
                <w:bookmarkStart w:id="8" w:name="_Hlk182558623"/>
                <w:r w:rsidRPr="00C402D9">
                  <w:rPr>
                    <w:rFonts w:ascii="Calibri" w:eastAsia="Aptos" w:hAnsi="Calibri" w:cs="Calibri"/>
                    <w:sz w:val="24"/>
                    <w:szCs w:val="24"/>
                    <w14:ligatures w14:val="standardContextual"/>
                  </w:rPr>
                  <w:t>review the Assessor Certification Status report:</w:t>
                </w:r>
              </w:p>
              <w:p w14:paraId="585A71BD" w14:textId="77777777" w:rsidR="00946788" w:rsidRPr="00C402D9" w:rsidRDefault="00946788" w:rsidP="00C402D9">
                <w:pPr>
                  <w:pStyle w:val="ListParagraph"/>
                  <w:numPr>
                    <w:ilvl w:val="0"/>
                    <w:numId w:val="19"/>
                  </w:numPr>
                  <w:spacing w:after="200" w:line="240" w:lineRule="auto"/>
                  <w:contextualSpacing/>
                  <w:rPr>
                    <w:rFonts w:ascii="Calibri" w:eastAsia="Aptos" w:hAnsi="Calibri" w:cs="Calibri"/>
                    <w:sz w:val="24"/>
                    <w:szCs w:val="24"/>
                  </w:rPr>
                </w:pPr>
                <w:r w:rsidRPr="00C402D9">
                  <w:rPr>
                    <w:rFonts w:ascii="Calibri" w:eastAsia="Aptos" w:hAnsi="Calibri" w:cs="Calibri"/>
                    <w:sz w:val="24"/>
                    <w:szCs w:val="24"/>
                  </w:rPr>
                  <w:t>Agency reports</w:t>
                </w:r>
              </w:p>
              <w:p w14:paraId="20CA57B3" w14:textId="77777777" w:rsidR="00946788" w:rsidRPr="00C402D9" w:rsidRDefault="00946788" w:rsidP="00C402D9">
                <w:pPr>
                  <w:pStyle w:val="ListParagraph"/>
                  <w:numPr>
                    <w:ilvl w:val="0"/>
                    <w:numId w:val="19"/>
                  </w:numPr>
                  <w:spacing w:after="200" w:line="240" w:lineRule="auto"/>
                  <w:contextualSpacing/>
                  <w:rPr>
                    <w:rFonts w:ascii="Calibri" w:eastAsia="Aptos" w:hAnsi="Calibri" w:cs="Calibri"/>
                    <w:sz w:val="24"/>
                    <w:szCs w:val="24"/>
                  </w:rPr>
                </w:pPr>
                <w:r w:rsidRPr="00C402D9">
                  <w:rPr>
                    <w:rFonts w:ascii="Calibri" w:eastAsia="Aptos" w:hAnsi="Calibri" w:cs="Calibri"/>
                    <w:sz w:val="24"/>
                    <w:szCs w:val="24"/>
                  </w:rPr>
                  <w:t>Lead agency security admin</w:t>
                </w:r>
              </w:p>
              <w:p w14:paraId="0D93210F" w14:textId="77777777" w:rsidR="00946788" w:rsidRPr="00C402D9" w:rsidRDefault="00946788" w:rsidP="00C402D9">
                <w:pPr>
                  <w:pStyle w:val="ListParagraph"/>
                  <w:numPr>
                    <w:ilvl w:val="0"/>
                    <w:numId w:val="19"/>
                  </w:numPr>
                  <w:spacing w:after="200" w:line="240" w:lineRule="auto"/>
                  <w:contextualSpacing/>
                  <w:rPr>
                    <w:rFonts w:ascii="Calibri" w:eastAsia="Aptos" w:hAnsi="Calibri" w:cs="Calibri"/>
                    <w:sz w:val="24"/>
                    <w:szCs w:val="24"/>
                  </w:rPr>
                </w:pPr>
                <w:r w:rsidRPr="00C402D9">
                  <w:rPr>
                    <w:rFonts w:ascii="Calibri" w:eastAsia="Aptos" w:hAnsi="Calibri" w:cs="Calibri"/>
                    <w:sz w:val="24"/>
                    <w:szCs w:val="24"/>
                  </w:rPr>
                  <w:t>Lead agency supervisor</w:t>
                </w:r>
              </w:p>
              <w:p w14:paraId="6067E44F" w14:textId="77777777" w:rsidR="00946788" w:rsidRPr="00C402D9" w:rsidRDefault="00946788" w:rsidP="00C402D9">
                <w:pPr>
                  <w:pStyle w:val="ListParagraph"/>
                  <w:numPr>
                    <w:ilvl w:val="0"/>
                    <w:numId w:val="19"/>
                  </w:numPr>
                  <w:spacing w:after="200" w:line="240" w:lineRule="auto"/>
                  <w:contextualSpacing/>
                  <w:rPr>
                    <w:rFonts w:ascii="Calibri" w:eastAsia="Aptos" w:hAnsi="Calibri" w:cs="Calibri"/>
                    <w:sz w:val="24"/>
                    <w:szCs w:val="24"/>
                  </w:rPr>
                </w:pPr>
                <w:r w:rsidRPr="00C402D9">
                  <w:rPr>
                    <w:rFonts w:ascii="Calibri" w:eastAsia="Aptos" w:hAnsi="Calibri" w:cs="Calibri"/>
                    <w:sz w:val="24"/>
                    <w:szCs w:val="24"/>
                  </w:rPr>
                  <w:t>Delegate supervisor</w:t>
                </w:r>
              </w:p>
              <w:p w14:paraId="0CAE9CD2" w14:textId="293A61E4" w:rsidR="00946788" w:rsidRPr="00C402D9" w:rsidRDefault="00946788" w:rsidP="00C402D9">
                <w:pPr>
                  <w:pStyle w:val="ListParagraph"/>
                  <w:numPr>
                    <w:ilvl w:val="0"/>
                    <w:numId w:val="19"/>
                  </w:numPr>
                  <w:spacing w:after="200" w:line="240" w:lineRule="auto"/>
                  <w:contextualSpacing/>
                  <w:rPr>
                    <w:rFonts w:ascii="Calibri" w:eastAsia="Aptos" w:hAnsi="Calibri" w:cs="Calibri"/>
                    <w:sz w:val="24"/>
                    <w:szCs w:val="24"/>
                  </w:rPr>
                </w:pPr>
                <w:r w:rsidRPr="00C402D9">
                  <w:rPr>
                    <w:rFonts w:ascii="Calibri" w:eastAsia="Aptos" w:hAnsi="Calibri" w:cs="Calibri"/>
                    <w:sz w:val="24"/>
                    <w:szCs w:val="24"/>
                  </w:rPr>
                  <w:t>Contracted case management supervisor</w:t>
                </w:r>
              </w:p>
              <w:bookmarkEnd w:id="7"/>
              <w:p w14:paraId="21C2C9E8" w14:textId="77777777" w:rsidR="00946788" w:rsidRPr="00C402D9" w:rsidRDefault="00946788" w:rsidP="00C402D9">
                <w:pPr>
                  <w:spacing w:after="200"/>
                  <w:rPr>
                    <w:rFonts w:ascii="Calibri" w:eastAsia="Aptos" w:hAnsi="Calibri" w:cs="Calibri"/>
                    <w:sz w:val="24"/>
                    <w:szCs w:val="24"/>
                    <w14:ligatures w14:val="standardContextual"/>
                  </w:rPr>
                </w:pPr>
                <w:r w:rsidRPr="00C402D9">
                  <w:rPr>
                    <w:rFonts w:ascii="Calibri" w:eastAsia="Aptos" w:hAnsi="Calibri" w:cs="Calibri"/>
                    <w:sz w:val="24"/>
                    <w:szCs w:val="24"/>
                    <w14:ligatures w14:val="standardContextual"/>
                  </w:rPr>
                  <w:t>Go to the MnCHOICES navigation header and select “Reports” to open the Assessor Certification Status report.</w:t>
                </w:r>
              </w:p>
              <w:p w14:paraId="48C883CD" w14:textId="77777777" w:rsidR="00946788" w:rsidRPr="00946788" w:rsidRDefault="00946788" w:rsidP="00946788">
                <w:pPr>
                  <w:jc w:val="center"/>
                  <w:rPr>
                    <w:rFonts w:ascii="Arial" w:eastAsia="Aptos" w:hAnsi="Arial" w:cs="Arial"/>
                  </w:rPr>
                </w:pPr>
                <w:r w:rsidRPr="00946788">
                  <w:rPr>
                    <w:rFonts w:ascii="Arial" w:eastAsia="Aptos" w:hAnsi="Arial" w:cs="Arial"/>
                    <w:noProof/>
                  </w:rPr>
                  <w:drawing>
                    <wp:inline distT="0" distB="0" distL="0" distR="0" wp14:anchorId="5765FFCD" wp14:editId="1CDEE67B">
                      <wp:extent cx="2181225" cy="1590585"/>
                      <wp:effectExtent l="0" t="0" r="0" b="0"/>
                      <wp:docPr id="26" name="Picture 7" descr="Screenshot of MnCHOICES application showing the Assessor Certification Status report within the Report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of MnCHOICES application showing the Assessor Certification Status report within the Reports section. "/>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06217" cy="1608809"/>
                              </a:xfrm>
                              <a:prstGeom prst="rect">
                                <a:avLst/>
                              </a:prstGeom>
                              <a:noFill/>
                              <a:ln>
                                <a:noFill/>
                              </a:ln>
                            </pic:spPr>
                          </pic:pic>
                        </a:graphicData>
                      </a:graphic>
                    </wp:inline>
                  </w:drawing>
                </w:r>
              </w:p>
              <w:p w14:paraId="5BF29CEA" w14:textId="77777777" w:rsidR="00946788" w:rsidRPr="00C402D9" w:rsidRDefault="00946788" w:rsidP="00946788">
                <w:pPr>
                  <w:spacing w:line="264" w:lineRule="auto"/>
                  <w:rPr>
                    <w:rFonts w:eastAsia="Aptos" w:cstheme="minorHAnsi"/>
                    <w:sz w:val="24"/>
                    <w:szCs w:val="24"/>
                    <w14:ligatures w14:val="standardContextual"/>
                  </w:rPr>
                </w:pPr>
                <w:r w:rsidRPr="00C402D9">
                  <w:rPr>
                    <w:rFonts w:eastAsia="Aptos" w:cstheme="minorHAnsi"/>
                    <w:sz w:val="24"/>
                    <w:szCs w:val="24"/>
                    <w14:ligatures w14:val="standardContextual"/>
                  </w:rPr>
                  <w:lastRenderedPageBreak/>
                  <w:t>The report has two tabs:</w:t>
                </w:r>
              </w:p>
              <w:p w14:paraId="057AAE74" w14:textId="77777777" w:rsidR="00946788" w:rsidRPr="00C402D9" w:rsidRDefault="00946788" w:rsidP="00946788">
                <w:pPr>
                  <w:numPr>
                    <w:ilvl w:val="0"/>
                    <w:numId w:val="17"/>
                  </w:numPr>
                  <w:spacing w:line="264" w:lineRule="auto"/>
                  <w:contextualSpacing/>
                  <w:rPr>
                    <w:rFonts w:eastAsia="Aptos" w:cstheme="minorHAnsi"/>
                    <w:sz w:val="24"/>
                    <w:szCs w:val="24"/>
                  </w:rPr>
                </w:pPr>
                <w:r w:rsidRPr="00C402D9">
                  <w:rPr>
                    <w:rFonts w:eastAsia="Aptos" w:cstheme="minorHAnsi"/>
                    <w:b/>
                    <w:bCs/>
                    <w:sz w:val="24"/>
                    <w:szCs w:val="24"/>
                  </w:rPr>
                  <w:t>Summary</w:t>
                </w:r>
              </w:p>
              <w:p w14:paraId="4E834BC4" w14:textId="77777777" w:rsidR="00946788" w:rsidRPr="00C402D9" w:rsidRDefault="00946788" w:rsidP="00946788">
                <w:pPr>
                  <w:numPr>
                    <w:ilvl w:val="0"/>
                    <w:numId w:val="17"/>
                  </w:numPr>
                  <w:spacing w:after="200" w:line="264" w:lineRule="auto"/>
                  <w:contextualSpacing/>
                  <w:rPr>
                    <w:rFonts w:eastAsia="Aptos" w:cstheme="minorHAnsi"/>
                    <w:b/>
                    <w:bCs/>
                    <w:sz w:val="24"/>
                    <w:szCs w:val="24"/>
                  </w:rPr>
                </w:pPr>
                <w:r w:rsidRPr="00C402D9">
                  <w:rPr>
                    <w:rFonts w:eastAsia="Aptos" w:cstheme="minorHAnsi"/>
                    <w:b/>
                    <w:bCs/>
                    <w:sz w:val="24"/>
                    <w:szCs w:val="24"/>
                  </w:rPr>
                  <w:t xml:space="preserve">Detail </w:t>
                </w:r>
              </w:p>
              <w:p w14:paraId="1DFE7DD0" w14:textId="77777777" w:rsidR="00946788" w:rsidRPr="00C402D9" w:rsidRDefault="00946788" w:rsidP="00946788">
                <w:pPr>
                  <w:spacing w:after="200" w:line="264" w:lineRule="auto"/>
                  <w:rPr>
                    <w:rFonts w:eastAsia="Aptos" w:cstheme="minorHAnsi"/>
                    <w:sz w:val="24"/>
                    <w:szCs w:val="24"/>
                    <w14:ligatures w14:val="standardContextual"/>
                  </w:rPr>
                </w:pPr>
                <w:r w:rsidRPr="00C402D9">
                  <w:rPr>
                    <w:rFonts w:eastAsia="Aptos" w:cstheme="minorHAnsi"/>
                    <w:sz w:val="24"/>
                    <w:szCs w:val="24"/>
                    <w14:ligatures w14:val="standardContextual"/>
                  </w:rPr>
                  <w:t>The filters on the left-hand side of the screen can be used to reduce the search results. The filters are Organization, Location, User</w:t>
                </w:r>
                <w:bookmarkEnd w:id="8"/>
                <w:r w:rsidRPr="00C402D9">
                  <w:rPr>
                    <w:rFonts w:eastAsia="Aptos" w:cstheme="minorHAnsi"/>
                    <w:sz w:val="24"/>
                    <w:szCs w:val="24"/>
                    <w14:ligatures w14:val="standardContextual"/>
                  </w:rPr>
                  <w:t xml:space="preserve">, and Numbers of Days before Credentials Expire. </w:t>
                </w:r>
              </w:p>
              <w:p w14:paraId="472D65B6" w14:textId="77777777" w:rsidR="00946788" w:rsidRPr="00946788" w:rsidRDefault="00946788" w:rsidP="00946788">
                <w:pPr>
                  <w:spacing w:after="200" w:line="264" w:lineRule="auto"/>
                  <w:contextualSpacing/>
                  <w:jc w:val="center"/>
                  <w:rPr>
                    <w:rFonts w:ascii="Aptos" w:eastAsia="Aptos" w:hAnsi="Aptos" w:cs="Times New Roman"/>
                  </w:rPr>
                </w:pPr>
                <w:r w:rsidRPr="00946788">
                  <w:rPr>
                    <w:rFonts w:ascii="Aptos" w:eastAsia="Aptos" w:hAnsi="Aptos" w:cs="Times New Roman"/>
                    <w:noProof/>
                  </w:rPr>
                  <w:drawing>
                    <wp:inline distT="0" distB="0" distL="0" distR="0" wp14:anchorId="2357DD0A" wp14:editId="1018883F">
                      <wp:extent cx="2151982" cy="895350"/>
                      <wp:effectExtent l="0" t="0" r="1270" b="0"/>
                      <wp:docPr id="27" name="Picture 6" descr="Screenshot of MnCHOICES application showing the Summary and Detail tabs of the Assessor Certification Status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MnCHOICES application showing the Summary and Detail tabs of the Assessor Certification Status report. "/>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53832" cy="896120"/>
                              </a:xfrm>
                              <a:prstGeom prst="rect">
                                <a:avLst/>
                              </a:prstGeom>
                              <a:noFill/>
                              <a:ln>
                                <a:noFill/>
                              </a:ln>
                            </pic:spPr>
                          </pic:pic>
                        </a:graphicData>
                      </a:graphic>
                    </wp:inline>
                  </w:drawing>
                </w:r>
              </w:p>
              <w:p w14:paraId="33A3C618" w14:textId="77777777" w:rsidR="00946788" w:rsidRPr="00C402D9" w:rsidRDefault="00946788" w:rsidP="00946788">
                <w:pPr>
                  <w:rPr>
                    <w:rFonts w:ascii="Calibri" w:eastAsia="Aptos" w:hAnsi="Calibri" w:cs="Calibri"/>
                    <w:sz w:val="24"/>
                    <w:szCs w:val="24"/>
                  </w:rPr>
                </w:pPr>
                <w:r w:rsidRPr="00C402D9">
                  <w:rPr>
                    <w:rFonts w:ascii="Calibri" w:eastAsia="Aptos" w:hAnsi="Calibri" w:cs="Calibri"/>
                    <w:sz w:val="24"/>
                    <w:szCs w:val="24"/>
                  </w:rPr>
                  <w:t>On the Detail page: Hovering the mouse pointer over the upper-right corner of the table shows:</w:t>
                </w:r>
              </w:p>
              <w:p w14:paraId="2CF34B6E" w14:textId="77777777" w:rsidR="00946788" w:rsidRPr="00C402D9" w:rsidRDefault="00946788" w:rsidP="00946788">
                <w:pPr>
                  <w:numPr>
                    <w:ilvl w:val="0"/>
                    <w:numId w:val="18"/>
                  </w:numPr>
                  <w:rPr>
                    <w:rFonts w:ascii="Calibri" w:eastAsia="Aptos" w:hAnsi="Calibri" w:cs="Calibri"/>
                    <w:sz w:val="24"/>
                    <w:szCs w:val="24"/>
                  </w:rPr>
                </w:pPr>
                <w:r w:rsidRPr="00C402D9">
                  <w:rPr>
                    <w:rFonts w:ascii="Calibri" w:eastAsia="Aptos" w:hAnsi="Calibri" w:cs="Calibri"/>
                    <w:b/>
                    <w:bCs/>
                    <w:sz w:val="24"/>
                    <w:szCs w:val="24"/>
                  </w:rPr>
                  <w:t>Filter:</w:t>
                </w:r>
                <w:r w:rsidRPr="00C402D9">
                  <w:rPr>
                    <w:rFonts w:ascii="Calibri" w:eastAsia="Aptos" w:hAnsi="Calibri" w:cs="Calibri"/>
                    <w:sz w:val="24"/>
                    <w:szCs w:val="24"/>
                  </w:rPr>
                  <w:t xml:space="preserve"> Shows additional filter options used to get the search results on the right-hand side of the screen.</w:t>
                </w:r>
              </w:p>
              <w:p w14:paraId="0CA18418" w14:textId="77777777" w:rsidR="00946788" w:rsidRPr="00C402D9" w:rsidRDefault="00946788" w:rsidP="00946788">
                <w:pPr>
                  <w:numPr>
                    <w:ilvl w:val="0"/>
                    <w:numId w:val="18"/>
                  </w:numPr>
                  <w:rPr>
                    <w:rFonts w:ascii="Calibri" w:eastAsia="Aptos" w:hAnsi="Calibri" w:cs="Calibri"/>
                    <w:sz w:val="24"/>
                    <w:szCs w:val="24"/>
                  </w:rPr>
                </w:pPr>
                <w:r w:rsidRPr="00C402D9">
                  <w:rPr>
                    <w:rFonts w:ascii="Calibri" w:eastAsia="Aptos" w:hAnsi="Calibri" w:cs="Calibri"/>
                    <w:b/>
                    <w:bCs/>
                    <w:sz w:val="24"/>
                    <w:szCs w:val="24"/>
                  </w:rPr>
                  <w:t>Focus mode:</w:t>
                </w:r>
                <w:r w:rsidRPr="00C402D9">
                  <w:rPr>
                    <w:rFonts w:ascii="Calibri" w:eastAsia="Aptos" w:hAnsi="Calibri" w:cs="Calibri"/>
                    <w:sz w:val="24"/>
                    <w:szCs w:val="24"/>
                  </w:rPr>
                  <w:t xml:space="preserve"> Removes all search results that do not match the selected filters. Use “Back to reports” to get back to the main reports screen.</w:t>
                </w:r>
              </w:p>
              <w:p w14:paraId="2B554AFC" w14:textId="77777777" w:rsidR="00946788" w:rsidRPr="00C402D9" w:rsidRDefault="00946788" w:rsidP="00946788">
                <w:pPr>
                  <w:numPr>
                    <w:ilvl w:val="0"/>
                    <w:numId w:val="18"/>
                  </w:numPr>
                  <w:rPr>
                    <w:rFonts w:ascii="Calibri" w:eastAsia="Aptos" w:hAnsi="Calibri" w:cs="Calibri"/>
                    <w:sz w:val="24"/>
                    <w:szCs w:val="24"/>
                  </w:rPr>
                </w:pPr>
                <w:r w:rsidRPr="00C402D9">
                  <w:rPr>
                    <w:rFonts w:ascii="Calibri" w:eastAsia="Aptos" w:hAnsi="Calibri" w:cs="Calibri"/>
                    <w:b/>
                    <w:bCs/>
                    <w:sz w:val="24"/>
                    <w:szCs w:val="24"/>
                  </w:rPr>
                  <w:t>Ellipsis:</w:t>
                </w:r>
                <w:r w:rsidRPr="00C402D9">
                  <w:rPr>
                    <w:rFonts w:ascii="Calibri" w:eastAsia="Aptos" w:hAnsi="Calibri" w:cs="Calibri"/>
                    <w:sz w:val="24"/>
                    <w:szCs w:val="24"/>
                  </w:rPr>
                  <w:t xml:space="preserve"> Provides more options for the selected data, including export, show as table, spotlight, get insights, sorting order and sort by.</w:t>
                </w:r>
              </w:p>
              <w:p w14:paraId="022A7D38" w14:textId="77777777" w:rsidR="00946788" w:rsidRPr="00C402D9" w:rsidRDefault="00946788" w:rsidP="00946788">
                <w:pPr>
                  <w:numPr>
                    <w:ilvl w:val="1"/>
                    <w:numId w:val="18"/>
                  </w:numPr>
                  <w:spacing w:after="240"/>
                  <w:rPr>
                    <w:rFonts w:ascii="Calibri" w:eastAsia="Aptos" w:hAnsi="Calibri" w:cs="Calibri"/>
                    <w:sz w:val="24"/>
                    <w:szCs w:val="24"/>
                  </w:rPr>
                </w:pPr>
                <w:r w:rsidRPr="00C402D9">
                  <w:rPr>
                    <w:rFonts w:ascii="Calibri" w:eastAsia="Aptos" w:hAnsi="Calibri" w:cs="Calibri"/>
                    <w:sz w:val="24"/>
                    <w:szCs w:val="24"/>
                  </w:rPr>
                  <w:t>Export allows users to pull data to an Excel document and change the sort order.</w:t>
                </w:r>
              </w:p>
              <w:p w14:paraId="33126E63" w14:textId="77777777" w:rsidR="00946788" w:rsidRPr="00946788" w:rsidRDefault="00946788" w:rsidP="00946788">
                <w:pPr>
                  <w:jc w:val="center"/>
                  <w:rPr>
                    <w:rFonts w:ascii="Arial" w:eastAsia="Aptos" w:hAnsi="Arial" w:cs="Arial"/>
                    <w:sz w:val="24"/>
                    <w:szCs w:val="24"/>
                  </w:rPr>
                </w:pPr>
                <w:r w:rsidRPr="00946788">
                  <w:rPr>
                    <w:rFonts w:ascii="Arial" w:eastAsia="Aptos" w:hAnsi="Arial" w:cs="Arial"/>
                    <w:noProof/>
                  </w:rPr>
                  <w:drawing>
                    <wp:inline distT="0" distB="0" distL="0" distR="0" wp14:anchorId="11045564" wp14:editId="6E4CA196">
                      <wp:extent cx="2057400" cy="1362075"/>
                      <wp:effectExtent l="0" t="0" r="0" b="9525"/>
                      <wp:docPr id="28" name="Picture 1" descr="Screenshot of MnCHOICES application showing the Filer, Focus mode, and Ellipsis icons of the Assessor Certification Status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MnCHOICES application showing the Filer, Focus mode, and Ellipsis icons of the Assessor Certification Status report.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57400" cy="1362075"/>
                              </a:xfrm>
                              <a:prstGeom prst="rect">
                                <a:avLst/>
                              </a:prstGeom>
                              <a:noFill/>
                              <a:ln>
                                <a:noFill/>
                              </a:ln>
                            </pic:spPr>
                          </pic:pic>
                        </a:graphicData>
                      </a:graphic>
                    </wp:inline>
                  </w:drawing>
                </w:r>
              </w:p>
            </w:sdtContent>
          </w:sdt>
          <w:p w14:paraId="5B40072C" w14:textId="659FE344" w:rsidR="00CA04A0" w:rsidRPr="00946788" w:rsidRDefault="00946788" w:rsidP="00946788">
            <w:pPr>
              <w:keepNext/>
              <w:spacing w:before="360" w:line="264" w:lineRule="auto"/>
              <w:outlineLvl w:val="1"/>
              <w:rPr>
                <w:rFonts w:ascii="Calibri" w:eastAsia="Times New Roman" w:hAnsi="Calibri" w:cs="Calibri"/>
                <w:b/>
                <w:bCs/>
                <w:color w:val="4472C4"/>
                <w:sz w:val="32"/>
                <w:szCs w:val="32"/>
                <w14:ligatures w14:val="standardContextual"/>
              </w:rPr>
            </w:pPr>
            <w:r w:rsidRPr="00C402D9">
              <w:rPr>
                <w:rFonts w:ascii="Calibri" w:eastAsia="Times New Roman" w:hAnsi="Calibri" w:cs="Calibri"/>
                <w:b/>
                <w:bCs/>
                <w:color w:val="4472C4"/>
                <w:sz w:val="28"/>
                <w:szCs w:val="28"/>
                <w14:ligatures w14:val="standardContextual"/>
              </w:rPr>
              <w:t xml:space="preserve">Questions: </w:t>
            </w:r>
            <w:r w:rsidRPr="00946788">
              <w:rPr>
                <w:rFonts w:ascii="Calibri" w:eastAsia="Times New Roman" w:hAnsi="Calibri" w:cs="Calibri"/>
                <w:color w:val="4472C4"/>
                <w:sz w:val="32"/>
                <w:szCs w:val="32"/>
                <w14:ligatures w14:val="standardContextual"/>
              </w:rPr>
              <w:br/>
            </w:r>
            <w:r w:rsidRPr="00C402D9">
              <w:rPr>
                <w:rFonts w:ascii="Calibri" w:eastAsia="Times New Roman" w:hAnsi="Calibri" w:cs="Calibri"/>
                <w:sz w:val="24"/>
                <w:szCs w:val="24"/>
                <w14:ligatures w14:val="standardContextual"/>
              </w:rPr>
              <w:t xml:space="preserve">MnCHOICES mentors use the </w:t>
            </w:r>
            <w:hyperlink r:id="rId17" w:history="1">
              <w:r w:rsidRPr="00C402D9">
                <w:rPr>
                  <w:rFonts w:ascii="Calibri" w:eastAsia="Times New Roman" w:hAnsi="Calibri" w:cs="Calibri"/>
                  <w:color w:val="0563C1"/>
                  <w:sz w:val="24"/>
                  <w:szCs w:val="24"/>
                  <w:u w:val="single"/>
                  <w14:ligatures w14:val="standardContextual"/>
                </w:rPr>
                <w:t>MnCHOICES Help Desk Contact Form, DHS-6979</w:t>
              </w:r>
            </w:hyperlink>
            <w:r w:rsidRPr="00C402D9">
              <w:rPr>
                <w:rFonts w:ascii="Calibri" w:eastAsia="Times New Roman" w:hAnsi="Calibri" w:cs="Calibri"/>
                <w:color w:val="4472C4"/>
                <w:sz w:val="24"/>
                <w:szCs w:val="24"/>
                <w14:ligatures w14:val="standardContextual"/>
              </w:rPr>
              <w:t xml:space="preserve"> </w:t>
            </w:r>
            <w:r w:rsidRPr="00C402D9">
              <w:rPr>
                <w:rFonts w:ascii="Calibri" w:eastAsia="Times New Roman" w:hAnsi="Calibri" w:cs="Calibri"/>
                <w:sz w:val="24"/>
                <w:szCs w:val="24"/>
                <w14:ligatures w14:val="standardContextual"/>
              </w:rPr>
              <w:t>to submit their agency’s questions or concerns.</w:t>
            </w:r>
            <w:bookmarkEnd w:id="2"/>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8"/>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9" w:name="_Hlk132280772"/>
                          <w:bookmarkEnd w:id="9"/>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0" w:name="_Hlk132280772"/>
                    <w:bookmarkEnd w:id="1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4DA0A3F3" w:rsidR="00AF1D04" w:rsidRPr="00AF1D04" w:rsidRDefault="0094678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4DA0A3F3" w:rsidR="00AF1D04" w:rsidRPr="00AF1D04" w:rsidRDefault="0094678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36D6C"/>
    <w:multiLevelType w:val="hybridMultilevel"/>
    <w:tmpl w:val="3B048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23A2D"/>
    <w:multiLevelType w:val="hybridMultilevel"/>
    <w:tmpl w:val="B8CE34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687C2ED1"/>
    <w:multiLevelType w:val="hybridMultilevel"/>
    <w:tmpl w:val="D6202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2"/>
  </w:num>
  <w:num w:numId="2" w16cid:durableId="1797331095">
    <w:abstractNumId w:val="7"/>
  </w:num>
  <w:num w:numId="3" w16cid:durableId="214856249">
    <w:abstractNumId w:val="10"/>
  </w:num>
  <w:num w:numId="4" w16cid:durableId="1499616861">
    <w:abstractNumId w:val="14"/>
  </w:num>
  <w:num w:numId="5" w16cid:durableId="2073769093">
    <w:abstractNumId w:val="0"/>
  </w:num>
  <w:num w:numId="6" w16cid:durableId="18362904">
    <w:abstractNumId w:val="17"/>
  </w:num>
  <w:num w:numId="7" w16cid:durableId="495341996">
    <w:abstractNumId w:val="18"/>
  </w:num>
  <w:num w:numId="8" w16cid:durableId="195433800">
    <w:abstractNumId w:val="1"/>
  </w:num>
  <w:num w:numId="9" w16cid:durableId="2131320421">
    <w:abstractNumId w:val="11"/>
  </w:num>
  <w:num w:numId="10" w16cid:durableId="292836173">
    <w:abstractNumId w:val="8"/>
  </w:num>
  <w:num w:numId="11" w16cid:durableId="590047722">
    <w:abstractNumId w:val="2"/>
  </w:num>
  <w:num w:numId="12" w16cid:durableId="1674527007">
    <w:abstractNumId w:val="5"/>
  </w:num>
  <w:num w:numId="13" w16cid:durableId="1073697651">
    <w:abstractNumId w:val="3"/>
  </w:num>
  <w:num w:numId="14" w16cid:durableId="1167403472">
    <w:abstractNumId w:val="13"/>
  </w:num>
  <w:num w:numId="15" w16cid:durableId="1282767395">
    <w:abstractNumId w:val="16"/>
  </w:num>
  <w:num w:numId="16" w16cid:durableId="974333673">
    <w:abstractNumId w:val="9"/>
  </w:num>
  <w:num w:numId="17" w16cid:durableId="96221934">
    <w:abstractNumId w:val="15"/>
  </w:num>
  <w:num w:numId="18" w16cid:durableId="1175069177">
    <w:abstractNumId w:val="6"/>
  </w:num>
  <w:num w:numId="19" w16cid:durableId="1867400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22CB4"/>
    <w:rsid w:val="00287C94"/>
    <w:rsid w:val="002E7252"/>
    <w:rsid w:val="003C1F8E"/>
    <w:rsid w:val="004D30F0"/>
    <w:rsid w:val="005413CA"/>
    <w:rsid w:val="005C7FFC"/>
    <w:rsid w:val="005E07CD"/>
    <w:rsid w:val="00605891"/>
    <w:rsid w:val="00623111"/>
    <w:rsid w:val="00661EAF"/>
    <w:rsid w:val="00667838"/>
    <w:rsid w:val="00690495"/>
    <w:rsid w:val="00696BE2"/>
    <w:rsid w:val="006B5D91"/>
    <w:rsid w:val="007808B0"/>
    <w:rsid w:val="007A5F11"/>
    <w:rsid w:val="0080562D"/>
    <w:rsid w:val="00887099"/>
    <w:rsid w:val="008877C2"/>
    <w:rsid w:val="00946788"/>
    <w:rsid w:val="00954AF8"/>
    <w:rsid w:val="00986E5D"/>
    <w:rsid w:val="009B5D67"/>
    <w:rsid w:val="00A16F35"/>
    <w:rsid w:val="00A24223"/>
    <w:rsid w:val="00AA1C20"/>
    <w:rsid w:val="00AB049B"/>
    <w:rsid w:val="00AD5757"/>
    <w:rsid w:val="00AF1D04"/>
    <w:rsid w:val="00BB1FFD"/>
    <w:rsid w:val="00BD6DF2"/>
    <w:rsid w:val="00C402D9"/>
    <w:rsid w:val="00C608E4"/>
    <w:rsid w:val="00CA04A0"/>
    <w:rsid w:val="00CA1E33"/>
    <w:rsid w:val="00CA2A1A"/>
    <w:rsid w:val="00CF49F1"/>
    <w:rsid w:val="00D146B9"/>
    <w:rsid w:val="00D5294C"/>
    <w:rsid w:val="00D752D9"/>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6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9467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618343461">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382247887">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783378938">
      <w:bodyDiv w:val="1"/>
      <w:marLeft w:val="0"/>
      <w:marRight w:val="0"/>
      <w:marTop w:val="0"/>
      <w:marBottom w:val="0"/>
      <w:divBdr>
        <w:top w:val="none" w:sz="0" w:space="0" w:color="auto"/>
        <w:left w:val="none" w:sz="0" w:space="0" w:color="auto"/>
        <w:bottom w:val="none" w:sz="0" w:space="0" w:color="auto"/>
        <w:right w:val="none" w:sz="0" w:space="0" w:color="auto"/>
      </w:divBdr>
    </w:div>
    <w:div w:id="18007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B3992.C79A7AC0"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2.png@01DB3992.C79A7AC0" TargetMode="External"/><Relationship Id="rId17" Type="http://schemas.openxmlformats.org/officeDocument/2006/relationships/hyperlink" Target="https://urldefense.com/v3/__https:/edocs.dhs.state.mn.us/lfserver/Public/DHS-6979-ENG__;!!CwIvYz4dIaSa!MWS0zVLwklVGbrYs0WefG_NQ9MB-9nB613lnxIA5nrNr8-f_c-RBRbUZZwDulUaWVGAuEJZhoDlqEQ8OwyVUZqQqHtQMmA$" TargetMode="External"/><Relationship Id="rId2" Type="http://schemas.openxmlformats.org/officeDocument/2006/relationships/styles" Target="styles.xml"/><Relationship Id="rId16" Type="http://schemas.openxmlformats.org/officeDocument/2006/relationships/image" Target="cid:image004.png@01DB3992.C79A7AC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urldefense.com/v3/__https:/www.dhs.state.mn.us/main/idcplg?IdcService=GET_DYNAMIC_CONVERSION&amp;RevisionSelectionMethod=LatestReleased&amp;dDocName=dhs-313354__;!!CwIvYz4dIaSa!MWS0zVLwklVGbrYs0WefG_NQ9MB-9nB613lnxIA5nrNr8-f_c-RBRbUZZwDulUaWVGAuEJZhoDlqEQ8OwyVUZqQWsEe3_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www.dhs.state.mn.us/main/idcplg?IdcService=GET_DYNAMIC_CONVERSION&amp;RevisionSelectionMethod=LatestReleased&amp;dDocName=mndhs-067109__;!!CwIvYz4dIaSa!MWS0zVLwklVGbrYs0WefG_NQ9MB-9nB613lnxIA5nrNr8-f_c-RBRbUZZwDulUaWVGAuEJZhoDlqEQ8OwyVUZqTeXeacXQ$" TargetMode="External"/><Relationship Id="rId14" Type="http://schemas.openxmlformats.org/officeDocument/2006/relationships/image" Target="cid:image003.png@01DB3992.C79A7A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587</Words>
  <Characters>3347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3</cp:revision>
  <cp:lastPrinted>2023-04-13T19:37:00Z</cp:lastPrinted>
  <dcterms:created xsi:type="dcterms:W3CDTF">2024-11-20T19:47:00Z</dcterms:created>
  <dcterms:modified xsi:type="dcterms:W3CDTF">2024-11-21T15:26:00Z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2024-11-20T19:47:13Z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59fcb132-b021-4ff3-82f2-09ba62051932</vt:lpwstr>
  </property>
  <property fmtid="{D5CDD505-2E9C-101B-9397-08002B2CF9AE}" pid="8" name="MSIP_Label_f022c332-444a-4254-b930-8cf70d5ef151_ContentBits">
    <vt:lpwstr>0</vt:lpwstr>
  </property>
</Properties>
</file>