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886"/>
      </w:tblGrid>
      <w:tr w:rsidR="00CA04A0" w14:paraId="42600EA8" w14:textId="77777777" w:rsidTr="00CA04A0">
        <w:trPr>
          <w:trHeight w:val="9330"/>
        </w:trPr>
        <w:tc>
          <w:tcPr>
            <w:tcW w:w="11520" w:type="dxa"/>
          </w:tcPr>
          <w:p w14:paraId="133F3DB8" w14:textId="0EFF34A2" w:rsidR="00CA04A0" w:rsidRPr="00150443" w:rsidRDefault="00C608E4" w:rsidP="00150443">
            <w:pPr>
              <w:spacing w:before="60" w:after="60"/>
              <w:jc w:val="center"/>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58B797A8" w:rsidR="00C608E4" w:rsidRPr="00C608E4" w:rsidRDefault="00F44DEE" w:rsidP="00C608E4">
                                  <w:pPr>
                                    <w:jc w:val="center"/>
                                    <w:rPr>
                                      <w:color w:val="002060"/>
                                      <w:sz w:val="48"/>
                                      <w:szCs w:val="48"/>
                                    </w:rPr>
                                  </w:pPr>
                                  <w:r>
                                    <w:rPr>
                                      <w:color w:val="002060"/>
                                      <w:sz w:val="48"/>
                                      <w:szCs w:val="48"/>
                                    </w:rPr>
                                    <w:t xml:space="preserve">Guidelines Updates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7pt;margin-top:4.5pt;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58B797A8" w:rsidR="00C608E4" w:rsidRPr="00C608E4" w:rsidRDefault="00F44DEE" w:rsidP="00C608E4">
                            <w:pPr>
                              <w:jc w:val="center"/>
                              <w:rPr>
                                <w:color w:val="002060"/>
                                <w:sz w:val="48"/>
                                <w:szCs w:val="48"/>
                              </w:rPr>
                            </w:pPr>
                            <w:r>
                              <w:rPr>
                                <w:color w:val="002060"/>
                                <w:sz w:val="48"/>
                                <w:szCs w:val="48"/>
                              </w:rPr>
                              <w:t xml:space="preserve">Guidelines Updates </w:t>
                            </w:r>
                          </w:p>
                        </w:txbxContent>
                      </v:textbox>
                      <w10:wrap type="square"/>
                    </v:shape>
                  </w:pict>
                </mc:Fallback>
              </mc:AlternateContent>
            </w:r>
          </w:p>
          <w:p w14:paraId="1421C5DC" w14:textId="77777777" w:rsidR="00EA65A5" w:rsidRDefault="00F44DEE" w:rsidP="00CA04A0">
            <w:pPr>
              <w:rPr>
                <w:sz w:val="24"/>
                <w:szCs w:val="24"/>
              </w:rPr>
            </w:pPr>
            <w:r w:rsidRPr="00F44DEE">
              <w:rPr>
                <w:sz w:val="24"/>
                <w:szCs w:val="24"/>
              </w:rPr>
              <w:t>Thank you to those who have reached out asking questions about our recent</w:t>
            </w:r>
            <w:r w:rsidR="00EA65A5">
              <w:rPr>
                <w:sz w:val="24"/>
                <w:szCs w:val="24"/>
              </w:rPr>
              <w:t xml:space="preserve"> </w:t>
            </w:r>
            <w:r w:rsidRPr="00F44DEE">
              <w:rPr>
                <w:sz w:val="24"/>
                <w:szCs w:val="24"/>
              </w:rPr>
              <w:t xml:space="preserve">Guidelines and checklist updates! </w:t>
            </w:r>
          </w:p>
          <w:p w14:paraId="7C2F7D2E" w14:textId="16E29A1B" w:rsidR="00CA04A0" w:rsidRPr="00F44DEE" w:rsidRDefault="00F44DEE" w:rsidP="00CA04A0">
            <w:pPr>
              <w:rPr>
                <w:sz w:val="24"/>
                <w:szCs w:val="24"/>
              </w:rPr>
            </w:pPr>
            <w:r w:rsidRPr="00F44DEE">
              <w:rPr>
                <w:sz w:val="24"/>
                <w:szCs w:val="24"/>
              </w:rPr>
              <w:t xml:space="preserve">As a result of </w:t>
            </w:r>
            <w:r w:rsidR="00147BDE">
              <w:rPr>
                <w:sz w:val="24"/>
                <w:szCs w:val="24"/>
              </w:rPr>
              <w:t xml:space="preserve">some of </w:t>
            </w:r>
            <w:r w:rsidRPr="00F44DEE">
              <w:rPr>
                <w:sz w:val="24"/>
                <w:szCs w:val="24"/>
              </w:rPr>
              <w:t>those questions, we have made the following updates to both documents.</w:t>
            </w:r>
          </w:p>
          <w:p w14:paraId="5731C0F9" w14:textId="77777777" w:rsidR="00F44DEE" w:rsidRDefault="00F44DEE" w:rsidP="00CA04A0"/>
          <w:p w14:paraId="6117E35D" w14:textId="120B831C" w:rsidR="00F44DEE" w:rsidRPr="00F44DEE" w:rsidRDefault="00F44DEE" w:rsidP="00CA04A0">
            <w:pPr>
              <w:rPr>
                <w:b/>
                <w:bCs/>
                <w:color w:val="0070C0"/>
                <w:sz w:val="28"/>
                <w:szCs w:val="28"/>
              </w:rPr>
            </w:pPr>
            <w:r w:rsidRPr="00F44DEE">
              <w:rPr>
                <w:b/>
                <w:bCs/>
                <w:color w:val="0070C0"/>
                <w:sz w:val="28"/>
                <w:szCs w:val="28"/>
              </w:rPr>
              <w:t>Transitional HRA</w:t>
            </w:r>
          </w:p>
          <w:p w14:paraId="44E23689" w14:textId="4D947886" w:rsidR="00CA04A0" w:rsidRPr="006E2CC1" w:rsidRDefault="00EA65A5" w:rsidP="00CA04A0">
            <w:pPr>
              <w:rPr>
                <w:sz w:val="24"/>
                <w:szCs w:val="24"/>
              </w:rPr>
            </w:pPr>
            <w:r w:rsidRPr="006E2CC1">
              <w:rPr>
                <w:sz w:val="24"/>
                <w:szCs w:val="24"/>
              </w:rPr>
              <w:t>When entering the THRA form details into MnCHOICES, Care Coordinators do not need to complete the Staying Healthy section at this time. This was an error on our part. The checklist and guidelines have been corrected.</w:t>
            </w:r>
          </w:p>
          <w:p w14:paraId="3553041B" w14:textId="77777777" w:rsidR="00CA04A0" w:rsidRDefault="00CA04A0" w:rsidP="00CA04A0"/>
          <w:p w14:paraId="4CD14D95" w14:textId="17CAAF38" w:rsidR="00CA04A0" w:rsidRDefault="006E2CC1" w:rsidP="006E2CC1">
            <w:pPr>
              <w:jc w:val="center"/>
            </w:pPr>
            <w:r>
              <w:rPr>
                <w:noProof/>
              </w:rPr>
              <w:drawing>
                <wp:inline distT="0" distB="0" distL="0" distR="0" wp14:anchorId="55B0AF50" wp14:editId="349A4DC5">
                  <wp:extent cx="6356677" cy="1238314"/>
                  <wp:effectExtent l="152400" t="152400" r="368300" b="361950"/>
                  <wp:docPr id="1356444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44879" name=""/>
                          <pic:cNvPicPr/>
                        </pic:nvPicPr>
                        <pic:blipFill>
                          <a:blip r:embed="rId7"/>
                          <a:stretch>
                            <a:fillRect/>
                          </a:stretch>
                        </pic:blipFill>
                        <pic:spPr>
                          <a:xfrm>
                            <a:off x="0" y="0"/>
                            <a:ext cx="6356677" cy="1238314"/>
                          </a:xfrm>
                          <a:prstGeom prst="rect">
                            <a:avLst/>
                          </a:prstGeom>
                          <a:ln>
                            <a:noFill/>
                          </a:ln>
                          <a:effectLst>
                            <a:outerShdw blurRad="292100" dist="139700" dir="2700000" algn="tl" rotWithShape="0">
                              <a:srgbClr val="333333">
                                <a:alpha val="65000"/>
                              </a:srgbClr>
                            </a:outerShdw>
                          </a:effectLst>
                        </pic:spPr>
                      </pic:pic>
                    </a:graphicData>
                  </a:graphic>
                </wp:inline>
              </w:drawing>
            </w:r>
          </w:p>
          <w:p w14:paraId="0DBCB26F" w14:textId="70E4F065" w:rsidR="00F44DEE" w:rsidRPr="00147BDE" w:rsidRDefault="00F44DEE" w:rsidP="00CA04A0">
            <w:pPr>
              <w:rPr>
                <w:sz w:val="24"/>
                <w:szCs w:val="24"/>
              </w:rPr>
            </w:pPr>
            <w:r w:rsidRPr="00147BDE">
              <w:rPr>
                <w:sz w:val="24"/>
                <w:szCs w:val="24"/>
              </w:rPr>
              <w:t>Goals</w:t>
            </w:r>
            <w:r w:rsidR="006E2CC1" w:rsidRPr="00147BDE">
              <w:rPr>
                <w:sz w:val="24"/>
                <w:szCs w:val="24"/>
              </w:rPr>
              <w:t xml:space="preserve">: </w:t>
            </w:r>
            <w:r w:rsidR="00712510" w:rsidRPr="00147BDE">
              <w:rPr>
                <w:sz w:val="24"/>
                <w:szCs w:val="24"/>
              </w:rPr>
              <w:t>we removed the option of using only the goals section on form 6.28 Transitional HRA. All goals (including creation of new goals) should be done</w:t>
            </w:r>
            <w:r w:rsidR="00147BDE">
              <w:rPr>
                <w:sz w:val="24"/>
                <w:szCs w:val="24"/>
              </w:rPr>
              <w:t xml:space="preserve"> using the revised function on existing support plan</w:t>
            </w:r>
            <w:r w:rsidR="00712510" w:rsidRPr="00147BDE">
              <w:rPr>
                <w:sz w:val="24"/>
                <w:szCs w:val="24"/>
              </w:rPr>
              <w:t xml:space="preserve"> in MnCHOICES. </w:t>
            </w:r>
          </w:p>
          <w:p w14:paraId="2101C0C1" w14:textId="77777777" w:rsidR="00147BDE" w:rsidRDefault="00147BDE" w:rsidP="00CA04A0"/>
          <w:p w14:paraId="349BDD50" w14:textId="7912CB1F" w:rsidR="00F44DEE" w:rsidRDefault="00147BDE" w:rsidP="006E2CC1">
            <w:pPr>
              <w:jc w:val="center"/>
            </w:pPr>
            <w:r>
              <w:rPr>
                <w:noProof/>
              </w:rPr>
              <w:drawing>
                <wp:inline distT="0" distB="0" distL="0" distR="0" wp14:anchorId="61074DFC" wp14:editId="24823B5F">
                  <wp:extent cx="6534486" cy="844593"/>
                  <wp:effectExtent l="152400" t="152400" r="361950" b="355600"/>
                  <wp:docPr id="275732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32066" name=""/>
                          <pic:cNvPicPr/>
                        </pic:nvPicPr>
                        <pic:blipFill>
                          <a:blip r:embed="rId8"/>
                          <a:stretch>
                            <a:fillRect/>
                          </a:stretch>
                        </pic:blipFill>
                        <pic:spPr>
                          <a:xfrm>
                            <a:off x="0" y="0"/>
                            <a:ext cx="6534486" cy="844593"/>
                          </a:xfrm>
                          <a:prstGeom prst="rect">
                            <a:avLst/>
                          </a:prstGeom>
                          <a:ln>
                            <a:noFill/>
                          </a:ln>
                          <a:effectLst>
                            <a:outerShdw blurRad="292100" dist="139700" dir="2700000" algn="tl" rotWithShape="0">
                              <a:srgbClr val="333333">
                                <a:alpha val="65000"/>
                              </a:srgbClr>
                            </a:outerShdw>
                          </a:effectLst>
                        </pic:spPr>
                      </pic:pic>
                    </a:graphicData>
                  </a:graphic>
                </wp:inline>
              </w:drawing>
            </w:r>
          </w:p>
          <w:p w14:paraId="63273942" w14:textId="77777777" w:rsidR="00F44DEE" w:rsidRDefault="00F44DEE" w:rsidP="00CA04A0"/>
          <w:p w14:paraId="7189DCB4" w14:textId="46BE6928" w:rsidR="00F44DEE" w:rsidRPr="00F44DEE" w:rsidRDefault="00F44DEE" w:rsidP="00CA04A0">
            <w:pPr>
              <w:rPr>
                <w:b/>
                <w:bCs/>
                <w:color w:val="0070C0"/>
                <w:sz w:val="28"/>
                <w:szCs w:val="28"/>
              </w:rPr>
            </w:pPr>
            <w:r w:rsidRPr="00F44DEE">
              <w:rPr>
                <w:b/>
                <w:bCs/>
                <w:color w:val="0070C0"/>
                <w:sz w:val="28"/>
                <w:szCs w:val="28"/>
              </w:rPr>
              <w:t>Service updates to the Support Plan</w:t>
            </w:r>
          </w:p>
          <w:p w14:paraId="149A3BCD" w14:textId="58834B67" w:rsidR="00CA04A0" w:rsidRDefault="00C142CD" w:rsidP="00CA04A0">
            <w:pPr>
              <w:rPr>
                <w:sz w:val="24"/>
                <w:szCs w:val="24"/>
              </w:rPr>
            </w:pPr>
            <w:r w:rsidRPr="00C142CD">
              <w:rPr>
                <w:sz w:val="24"/>
                <w:szCs w:val="24"/>
              </w:rPr>
              <w:t xml:space="preserve">We </w:t>
            </w:r>
            <w:r>
              <w:rPr>
                <w:sz w:val="24"/>
                <w:szCs w:val="24"/>
              </w:rPr>
              <w:t>have removed</w:t>
            </w:r>
            <w:r w:rsidRPr="00C142CD">
              <w:rPr>
                <w:sz w:val="24"/>
                <w:szCs w:val="24"/>
              </w:rPr>
              <w:t xml:space="preserve"> all references to utilization of 8.50 Member Change Letter</w:t>
            </w:r>
            <w:r>
              <w:rPr>
                <w:sz w:val="24"/>
                <w:szCs w:val="24"/>
              </w:rPr>
              <w:t xml:space="preserve"> when there are service changes – this includes state plan services and EW services. </w:t>
            </w:r>
          </w:p>
          <w:p w14:paraId="2761008A" w14:textId="7EF666C4" w:rsidR="00C142CD" w:rsidRPr="00C142CD" w:rsidRDefault="00C142CD" w:rsidP="00CA04A0">
            <w:pPr>
              <w:rPr>
                <w:sz w:val="24"/>
                <w:szCs w:val="24"/>
              </w:rPr>
            </w:pPr>
            <w:r>
              <w:rPr>
                <w:sz w:val="24"/>
                <w:szCs w:val="24"/>
              </w:rPr>
              <w:t>Care Coordinators should follow DHS guidance and revise the support plan choosing “Yes” for signatures following this updated guidance:</w:t>
            </w:r>
          </w:p>
          <w:p w14:paraId="70D1165E" w14:textId="77777777" w:rsidR="00C142CD" w:rsidRDefault="00C142CD" w:rsidP="00CA04A0"/>
          <w:p w14:paraId="54755440" w14:textId="562A06E8" w:rsidR="00C142CD" w:rsidRDefault="00C142CD" w:rsidP="00C142CD">
            <w:pPr>
              <w:jc w:val="center"/>
            </w:pPr>
            <w:r>
              <w:rPr>
                <w:noProof/>
              </w:rPr>
              <w:drawing>
                <wp:inline distT="0" distB="0" distL="0" distR="0" wp14:anchorId="2557D5CA" wp14:editId="4E58D5F9">
                  <wp:extent cx="4276476" cy="4051398"/>
                  <wp:effectExtent l="152400" t="152400" r="353060" b="368300"/>
                  <wp:docPr id="1562493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93173" name=""/>
                          <pic:cNvPicPr/>
                        </pic:nvPicPr>
                        <pic:blipFill>
                          <a:blip r:embed="rId9"/>
                          <a:stretch>
                            <a:fillRect/>
                          </a:stretch>
                        </pic:blipFill>
                        <pic:spPr>
                          <a:xfrm>
                            <a:off x="0" y="0"/>
                            <a:ext cx="4289353" cy="4063597"/>
                          </a:xfrm>
                          <a:prstGeom prst="rect">
                            <a:avLst/>
                          </a:prstGeom>
                          <a:ln>
                            <a:noFill/>
                          </a:ln>
                          <a:effectLst>
                            <a:outerShdw blurRad="292100" dist="139700" dir="2700000" algn="tl" rotWithShape="0">
                              <a:srgbClr val="333333">
                                <a:alpha val="65000"/>
                              </a:srgbClr>
                            </a:outerShdw>
                          </a:effectLst>
                        </pic:spPr>
                      </pic:pic>
                    </a:graphicData>
                  </a:graphic>
                </wp:inline>
              </w:drawing>
            </w:r>
          </w:p>
          <w:p w14:paraId="7EE8D6E2" w14:textId="307A2A64" w:rsidR="00CA04A0" w:rsidRPr="00F44DEE" w:rsidRDefault="00F44DEE" w:rsidP="00CA04A0">
            <w:pPr>
              <w:rPr>
                <w:b/>
                <w:bCs/>
                <w:color w:val="0070C0"/>
                <w:sz w:val="28"/>
                <w:szCs w:val="28"/>
              </w:rPr>
            </w:pPr>
            <w:r w:rsidRPr="00F44DEE">
              <w:rPr>
                <w:b/>
                <w:bCs/>
                <w:color w:val="0070C0"/>
                <w:sz w:val="28"/>
                <w:szCs w:val="28"/>
              </w:rPr>
              <w:lastRenderedPageBreak/>
              <w:t>PCA Providers</w:t>
            </w:r>
          </w:p>
          <w:p w14:paraId="4588A7B1" w14:textId="57E58D6B" w:rsidR="00CA04A0" w:rsidRDefault="00D64515" w:rsidP="00CA04A0">
            <w:r w:rsidRPr="002D2549">
              <w:rPr>
                <w:sz w:val="24"/>
                <w:szCs w:val="24"/>
              </w:rPr>
              <w:t>We updated our guidance on what is required to be sent to PCA providers within 10 business days of the assessment.</w:t>
            </w:r>
          </w:p>
          <w:p w14:paraId="70050A13" w14:textId="77777777" w:rsidR="00D64515" w:rsidRDefault="00D64515" w:rsidP="00CA04A0"/>
          <w:p w14:paraId="26961A6D" w14:textId="16CB5911" w:rsidR="00CA04A0" w:rsidRDefault="00D64515" w:rsidP="002D2549">
            <w:pPr>
              <w:jc w:val="center"/>
            </w:pPr>
            <w:r>
              <w:rPr>
                <w:noProof/>
              </w:rPr>
              <w:drawing>
                <wp:inline distT="0" distB="0" distL="0" distR="0" wp14:anchorId="6AE89394" wp14:editId="6698EB05">
                  <wp:extent cx="6897642" cy="1183419"/>
                  <wp:effectExtent l="152400" t="152400" r="360680" b="360045"/>
                  <wp:docPr id="182616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68969" name=""/>
                          <pic:cNvPicPr/>
                        </pic:nvPicPr>
                        <pic:blipFill>
                          <a:blip r:embed="rId10"/>
                          <a:stretch>
                            <a:fillRect/>
                          </a:stretch>
                        </pic:blipFill>
                        <pic:spPr>
                          <a:xfrm>
                            <a:off x="0" y="0"/>
                            <a:ext cx="6908207" cy="1185232"/>
                          </a:xfrm>
                          <a:prstGeom prst="rect">
                            <a:avLst/>
                          </a:prstGeom>
                          <a:ln>
                            <a:noFill/>
                          </a:ln>
                          <a:effectLst>
                            <a:outerShdw blurRad="292100" dist="139700" dir="2700000" algn="tl" rotWithShape="0">
                              <a:srgbClr val="333333">
                                <a:alpha val="65000"/>
                              </a:srgbClr>
                            </a:outerShdw>
                          </a:effectLst>
                        </pic:spPr>
                      </pic:pic>
                    </a:graphicData>
                  </a:graphic>
                </wp:inline>
              </w:drawing>
            </w:r>
          </w:p>
          <w:p w14:paraId="4BD541D6" w14:textId="12249E78" w:rsidR="00CA04A0" w:rsidRPr="002D2549" w:rsidRDefault="0068693D" w:rsidP="00CA04A0">
            <w:pPr>
              <w:rPr>
                <w:b/>
                <w:bCs/>
                <w:color w:val="0070C0"/>
                <w:sz w:val="28"/>
                <w:szCs w:val="28"/>
              </w:rPr>
            </w:pPr>
            <w:r w:rsidRPr="0068693D">
              <w:rPr>
                <w:b/>
                <w:bCs/>
                <w:color w:val="0070C0"/>
                <w:sz w:val="28"/>
                <w:szCs w:val="28"/>
              </w:rPr>
              <w:t>Caregiver Assessment</w:t>
            </w:r>
          </w:p>
          <w:p w14:paraId="4F4B7CAB" w14:textId="338579C4" w:rsidR="00CA04A0" w:rsidRPr="002D2549" w:rsidRDefault="002D2549" w:rsidP="00CA04A0">
            <w:pPr>
              <w:rPr>
                <w:rFonts w:cstheme="minorHAnsi"/>
                <w:sz w:val="24"/>
                <w:szCs w:val="24"/>
              </w:rPr>
            </w:pPr>
            <w:r w:rsidRPr="002D2549">
              <w:rPr>
                <w:rFonts w:cstheme="minorHAnsi"/>
                <w:sz w:val="24"/>
                <w:szCs w:val="24"/>
              </w:rPr>
              <w:t xml:space="preserve">If an Informal Caregiver is identified in either the full </w:t>
            </w:r>
            <w:proofErr w:type="spellStart"/>
            <w:r w:rsidRPr="002D2549">
              <w:rPr>
                <w:rFonts w:cstheme="minorHAnsi"/>
                <w:sz w:val="24"/>
                <w:szCs w:val="24"/>
              </w:rPr>
              <w:t>MnCHOICES</w:t>
            </w:r>
            <w:proofErr w:type="spellEnd"/>
            <w:r w:rsidRPr="002D2549">
              <w:rPr>
                <w:rFonts w:cstheme="minorHAnsi"/>
                <w:sz w:val="24"/>
                <w:szCs w:val="24"/>
              </w:rPr>
              <w:t xml:space="preserve"> or HRA-MCO assessments, Care Coordinators must document their offering of the DHS 6914 Caregiver Questionnaire and attach to the member’s profile following this guidance:</w:t>
            </w:r>
          </w:p>
          <w:p w14:paraId="03D9921A" w14:textId="77777777" w:rsidR="002D2549" w:rsidRPr="002D2549" w:rsidRDefault="002D2549" w:rsidP="00CA04A0">
            <w:pPr>
              <w:rPr>
                <w:rFonts w:cstheme="minorHAnsi"/>
                <w:sz w:val="24"/>
                <w:szCs w:val="24"/>
              </w:rPr>
            </w:pPr>
          </w:p>
          <w:p w14:paraId="790C446F" w14:textId="7C7FB152" w:rsidR="002D2549" w:rsidRPr="002D2549" w:rsidRDefault="002D2549" w:rsidP="00CA04A0">
            <w:pPr>
              <w:rPr>
                <w:rFonts w:cstheme="minorHAnsi"/>
                <w:b/>
                <w:bCs/>
                <w:sz w:val="24"/>
                <w:szCs w:val="24"/>
              </w:rPr>
            </w:pPr>
            <w:r w:rsidRPr="002D2549">
              <w:rPr>
                <w:rFonts w:cstheme="minorHAnsi"/>
                <w:b/>
                <w:bCs/>
                <w:sz w:val="24"/>
                <w:szCs w:val="24"/>
              </w:rPr>
              <w:t xml:space="preserve">Full </w:t>
            </w:r>
            <w:proofErr w:type="spellStart"/>
            <w:r w:rsidRPr="002D2549">
              <w:rPr>
                <w:rFonts w:cstheme="minorHAnsi"/>
                <w:b/>
                <w:bCs/>
                <w:sz w:val="24"/>
                <w:szCs w:val="24"/>
              </w:rPr>
              <w:t>MnCHOICES</w:t>
            </w:r>
            <w:proofErr w:type="spellEnd"/>
            <w:r w:rsidRPr="002D2549">
              <w:rPr>
                <w:rFonts w:cstheme="minorHAnsi"/>
                <w:b/>
                <w:bCs/>
                <w:sz w:val="24"/>
                <w:szCs w:val="24"/>
              </w:rPr>
              <w:t>:</w:t>
            </w:r>
          </w:p>
          <w:p w14:paraId="5E0381A2" w14:textId="2D4F4C15" w:rsidR="002D2549" w:rsidRPr="002D2549" w:rsidRDefault="002D2549" w:rsidP="002D2549">
            <w:pPr>
              <w:pStyle w:val="Bullets2"/>
              <w:numPr>
                <w:ilvl w:val="0"/>
                <w:numId w:val="20"/>
              </w:numPr>
              <w:rPr>
                <w:rFonts w:asciiTheme="minorHAnsi" w:hAnsiTheme="minorHAnsi" w:cstheme="minorHAnsi"/>
                <w:szCs w:val="24"/>
              </w:rPr>
            </w:pPr>
            <w:r w:rsidRPr="002D2549">
              <w:rPr>
                <w:rFonts w:asciiTheme="minorHAnsi" w:hAnsiTheme="minorHAnsi" w:cstheme="minorHAnsi"/>
                <w:szCs w:val="24"/>
              </w:rPr>
              <w:t>D</w:t>
            </w:r>
            <w:r w:rsidRPr="002D2549">
              <w:rPr>
                <w:rFonts w:asciiTheme="minorHAnsi" w:hAnsiTheme="minorHAnsi" w:cstheme="minorHAnsi"/>
                <w:szCs w:val="24"/>
              </w:rPr>
              <w:t>ocument offering (</w:t>
            </w:r>
            <w:proofErr w:type="spellStart"/>
            <w:r w:rsidRPr="002D2549">
              <w:rPr>
                <w:rFonts w:asciiTheme="minorHAnsi" w:hAnsiTheme="minorHAnsi" w:cstheme="minorHAnsi"/>
                <w:szCs w:val="24"/>
              </w:rPr>
              <w:t>ie</w:t>
            </w:r>
            <w:proofErr w:type="spellEnd"/>
            <w:r w:rsidRPr="002D2549">
              <w:rPr>
                <w:rFonts w:asciiTheme="minorHAnsi" w:hAnsiTheme="minorHAnsi" w:cstheme="minorHAnsi"/>
                <w:szCs w:val="24"/>
              </w:rPr>
              <w:t>. CG assessment was offered and/or declined, mailed and/or completed etc.) under Functional Assessment - Community Living&gt; Relationships Informal Supports comment box.</w:t>
            </w:r>
          </w:p>
          <w:p w14:paraId="4B35686E" w14:textId="77777777" w:rsidR="002D2549" w:rsidRPr="002D2549" w:rsidRDefault="002D2549" w:rsidP="00CA04A0">
            <w:pPr>
              <w:rPr>
                <w:rFonts w:cstheme="minorHAnsi"/>
                <w:sz w:val="24"/>
                <w:szCs w:val="24"/>
              </w:rPr>
            </w:pPr>
          </w:p>
          <w:p w14:paraId="2495FA6E" w14:textId="4E32CC6F" w:rsidR="002D2549" w:rsidRPr="002D2549" w:rsidRDefault="002D2549" w:rsidP="00CA04A0">
            <w:pPr>
              <w:rPr>
                <w:rFonts w:cstheme="minorHAnsi"/>
                <w:b/>
                <w:bCs/>
                <w:sz w:val="24"/>
                <w:szCs w:val="24"/>
              </w:rPr>
            </w:pPr>
            <w:r w:rsidRPr="002D2549">
              <w:rPr>
                <w:rFonts w:cstheme="minorHAnsi"/>
                <w:b/>
                <w:bCs/>
                <w:sz w:val="24"/>
                <w:szCs w:val="24"/>
              </w:rPr>
              <w:t>HRA-MCO:</w:t>
            </w:r>
          </w:p>
          <w:p w14:paraId="7172A09F" w14:textId="3E771DE1" w:rsidR="002D2549" w:rsidRPr="002D2549" w:rsidRDefault="002D2549" w:rsidP="002D2549">
            <w:pPr>
              <w:pStyle w:val="ListParagraph"/>
              <w:numPr>
                <w:ilvl w:val="0"/>
                <w:numId w:val="20"/>
              </w:numPr>
              <w:spacing w:line="240" w:lineRule="auto"/>
              <w:rPr>
                <w:rFonts w:cstheme="minorHAnsi"/>
                <w:color w:val="auto"/>
                <w:sz w:val="24"/>
                <w:szCs w:val="24"/>
              </w:rPr>
            </w:pPr>
            <w:r w:rsidRPr="002D2549">
              <w:rPr>
                <w:rFonts w:cstheme="minorHAnsi"/>
                <w:color w:val="auto"/>
                <w:sz w:val="24"/>
                <w:szCs w:val="24"/>
              </w:rPr>
              <w:t>D</w:t>
            </w:r>
            <w:r w:rsidRPr="002D2549">
              <w:rPr>
                <w:rFonts w:cstheme="minorHAnsi"/>
                <w:color w:val="auto"/>
                <w:sz w:val="24"/>
                <w:szCs w:val="24"/>
              </w:rPr>
              <w:t>ocument offering (</w:t>
            </w:r>
            <w:proofErr w:type="spellStart"/>
            <w:r w:rsidRPr="002D2549">
              <w:rPr>
                <w:rFonts w:cstheme="minorHAnsi"/>
                <w:color w:val="auto"/>
                <w:sz w:val="24"/>
                <w:szCs w:val="24"/>
              </w:rPr>
              <w:t>ie</w:t>
            </w:r>
            <w:proofErr w:type="spellEnd"/>
            <w:r w:rsidRPr="002D2549">
              <w:rPr>
                <w:rFonts w:cstheme="minorHAnsi"/>
                <w:color w:val="auto"/>
                <w:sz w:val="24"/>
                <w:szCs w:val="24"/>
              </w:rPr>
              <w:t>. CG assessment was offered and/or declined, mailed and/or completed etc.) under Everyday Life&gt;Taking Care of Self in the comment box.</w:t>
            </w:r>
          </w:p>
          <w:p w14:paraId="2E680640" w14:textId="77777777" w:rsidR="00CA04A0" w:rsidRPr="002D2549" w:rsidRDefault="00CA04A0" w:rsidP="00CA04A0">
            <w:pPr>
              <w:rPr>
                <w:rFonts w:cstheme="minorHAnsi"/>
                <w:sz w:val="24"/>
                <w:szCs w:val="24"/>
              </w:rPr>
            </w:pPr>
          </w:p>
          <w:p w14:paraId="0CF4887F" w14:textId="77777777" w:rsidR="002D2549" w:rsidRPr="002D2549" w:rsidRDefault="002D2549" w:rsidP="002D2549">
            <w:pPr>
              <w:pStyle w:val="Bullets2"/>
              <w:numPr>
                <w:ilvl w:val="0"/>
                <w:numId w:val="0"/>
              </w:numPr>
              <w:rPr>
                <w:rFonts w:asciiTheme="minorHAnsi" w:hAnsiTheme="minorHAnsi" w:cstheme="minorHAnsi"/>
                <w:szCs w:val="24"/>
              </w:rPr>
            </w:pPr>
            <w:r w:rsidRPr="002D2549">
              <w:rPr>
                <w:rFonts w:asciiTheme="minorHAnsi" w:hAnsiTheme="minorHAnsi" w:cstheme="minorHAnsi"/>
                <w:b/>
                <w:bCs/>
                <w:szCs w:val="24"/>
              </w:rPr>
              <w:t>Reminder:</w:t>
            </w:r>
            <w:r w:rsidRPr="002D2549">
              <w:rPr>
                <w:rFonts w:asciiTheme="minorHAnsi" w:hAnsiTheme="minorHAnsi" w:cstheme="minorHAnsi"/>
                <w:szCs w:val="24"/>
              </w:rPr>
              <w:t xml:space="preserve"> Add caregiver name under relationship type “Informal Caregiver” in member profile </w:t>
            </w:r>
            <w:proofErr w:type="gramStart"/>
            <w:r w:rsidRPr="002D2549">
              <w:rPr>
                <w:rFonts w:asciiTheme="minorHAnsi" w:hAnsiTheme="minorHAnsi" w:cstheme="minorHAnsi"/>
                <w:szCs w:val="24"/>
              </w:rPr>
              <w:t>in order to</w:t>
            </w:r>
            <w:proofErr w:type="gramEnd"/>
            <w:r w:rsidRPr="002D2549">
              <w:rPr>
                <w:rFonts w:asciiTheme="minorHAnsi" w:hAnsiTheme="minorHAnsi" w:cstheme="minorHAnsi"/>
                <w:szCs w:val="24"/>
              </w:rPr>
              <w:t xml:space="preserve"> display in informal caregiver drop down list.</w:t>
            </w:r>
          </w:p>
          <w:p w14:paraId="67C47E45" w14:textId="77777777" w:rsidR="00CA04A0" w:rsidRDefault="00CA04A0" w:rsidP="00CA04A0"/>
          <w:p w14:paraId="61C49E8B" w14:textId="77777777" w:rsidR="00CA04A0" w:rsidRDefault="00CA04A0" w:rsidP="00CA04A0"/>
          <w:p w14:paraId="5B40072C" w14:textId="77777777" w:rsidR="00CA04A0" w:rsidRDefault="00CA04A0" w:rsidP="002D2549"/>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33BE8CD4" w:rsidR="00AF1D04" w:rsidRDefault="00EA65A5">
    <w:pPr>
      <w:pStyle w:val="Header"/>
    </w:pPr>
    <w:r>
      <w:rPr>
        <w:noProof/>
      </w:rPr>
      <w:drawing>
        <wp:anchor distT="0" distB="0" distL="114300" distR="114300" simplePos="0" relativeHeight="251659264" behindDoc="1" locked="0" layoutInCell="1" allowOverlap="1" wp14:anchorId="694BD564" wp14:editId="302D71DD">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FFC">
      <w:rPr>
        <w:noProof/>
      </w:rPr>
      <mc:AlternateContent>
        <mc:Choice Requires="wps">
          <w:drawing>
            <wp:anchor distT="45720" distB="45720" distL="114300" distR="114300" simplePos="0" relativeHeight="251665408" behindDoc="1" locked="0" layoutInCell="1" allowOverlap="1" wp14:anchorId="6216301F" wp14:editId="20DBD4F0">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B35DD1E" w:rsidR="00AF1D04" w:rsidRPr="00AF1D04" w:rsidRDefault="00EA65A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9-20-2024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B35DD1E" w:rsidR="00AF1D04" w:rsidRPr="00AF1D04" w:rsidRDefault="00EA65A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9-20-2024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662"/>
    <w:multiLevelType w:val="hybridMultilevel"/>
    <w:tmpl w:val="89F26C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0653E"/>
    <w:multiLevelType w:val="hybridMultilevel"/>
    <w:tmpl w:val="FEF4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ADD"/>
    <w:multiLevelType w:val="hybridMultilevel"/>
    <w:tmpl w:val="89F26C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4633A"/>
    <w:multiLevelType w:val="hybridMultilevel"/>
    <w:tmpl w:val="B09856A8"/>
    <w:lvl w:ilvl="0" w:tplc="DA301502">
      <w:start w:val="1"/>
      <w:numFmt w:val="bullet"/>
      <w:pStyle w:val="Bullet"/>
      <w:lvlText w:val=""/>
      <w:lvlJc w:val="left"/>
      <w:rPr>
        <w:rFonts w:ascii="Symbol" w:hAnsi="Symbol" w:hint="default"/>
        <w:color w:val="auto"/>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6"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3"/>
  </w:num>
  <w:num w:numId="2" w16cid:durableId="1797331095">
    <w:abstractNumId w:val="8"/>
  </w:num>
  <w:num w:numId="3" w16cid:durableId="214856249">
    <w:abstractNumId w:val="11"/>
  </w:num>
  <w:num w:numId="4" w16cid:durableId="1499616861">
    <w:abstractNumId w:val="16"/>
  </w:num>
  <w:num w:numId="5" w16cid:durableId="2073769093">
    <w:abstractNumId w:val="1"/>
  </w:num>
  <w:num w:numId="6" w16cid:durableId="18362904">
    <w:abstractNumId w:val="18"/>
  </w:num>
  <w:num w:numId="7" w16cid:durableId="495341996">
    <w:abstractNumId w:val="19"/>
  </w:num>
  <w:num w:numId="8" w16cid:durableId="195433800">
    <w:abstractNumId w:val="4"/>
  </w:num>
  <w:num w:numId="9" w16cid:durableId="2131320421">
    <w:abstractNumId w:val="12"/>
  </w:num>
  <w:num w:numId="10" w16cid:durableId="292836173">
    <w:abstractNumId w:val="9"/>
  </w:num>
  <w:num w:numId="11" w16cid:durableId="590047722">
    <w:abstractNumId w:val="5"/>
  </w:num>
  <w:num w:numId="12" w16cid:durableId="1674527007">
    <w:abstractNumId w:val="7"/>
  </w:num>
  <w:num w:numId="13" w16cid:durableId="1073697651">
    <w:abstractNumId w:val="6"/>
  </w:num>
  <w:num w:numId="14" w16cid:durableId="1167403472">
    <w:abstractNumId w:val="14"/>
  </w:num>
  <w:num w:numId="15" w16cid:durableId="1282767395">
    <w:abstractNumId w:val="17"/>
  </w:num>
  <w:num w:numId="16" w16cid:durableId="974333673">
    <w:abstractNumId w:val="10"/>
  </w:num>
  <w:num w:numId="17" w16cid:durableId="21324872">
    <w:abstractNumId w:val="15"/>
  </w:num>
  <w:num w:numId="18" w16cid:durableId="168762249">
    <w:abstractNumId w:val="3"/>
  </w:num>
  <w:num w:numId="19" w16cid:durableId="345443632">
    <w:abstractNumId w:val="0"/>
  </w:num>
  <w:num w:numId="20" w16cid:durableId="13507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353B7"/>
    <w:rsid w:val="00147BDE"/>
    <w:rsid w:val="00150443"/>
    <w:rsid w:val="00151824"/>
    <w:rsid w:val="001C2248"/>
    <w:rsid w:val="00222CB4"/>
    <w:rsid w:val="00287C94"/>
    <w:rsid w:val="002D2549"/>
    <w:rsid w:val="002E7252"/>
    <w:rsid w:val="003C1F8E"/>
    <w:rsid w:val="003E08AE"/>
    <w:rsid w:val="004D30F0"/>
    <w:rsid w:val="005413CA"/>
    <w:rsid w:val="00555A0B"/>
    <w:rsid w:val="005C7FFC"/>
    <w:rsid w:val="005E07CD"/>
    <w:rsid w:val="00605891"/>
    <w:rsid w:val="00661EAF"/>
    <w:rsid w:val="00667838"/>
    <w:rsid w:val="0068693D"/>
    <w:rsid w:val="00690495"/>
    <w:rsid w:val="00696BE2"/>
    <w:rsid w:val="006B5D91"/>
    <w:rsid w:val="006E2CC1"/>
    <w:rsid w:val="00712510"/>
    <w:rsid w:val="007808B0"/>
    <w:rsid w:val="007A5F11"/>
    <w:rsid w:val="0080562D"/>
    <w:rsid w:val="00887099"/>
    <w:rsid w:val="008877C2"/>
    <w:rsid w:val="00954AF8"/>
    <w:rsid w:val="00986E5D"/>
    <w:rsid w:val="00A16F35"/>
    <w:rsid w:val="00A24223"/>
    <w:rsid w:val="00AA1C20"/>
    <w:rsid w:val="00AB049B"/>
    <w:rsid w:val="00AD5757"/>
    <w:rsid w:val="00AF1D04"/>
    <w:rsid w:val="00BB1FFD"/>
    <w:rsid w:val="00BD6DF2"/>
    <w:rsid w:val="00BE1C8D"/>
    <w:rsid w:val="00C142CD"/>
    <w:rsid w:val="00C608E4"/>
    <w:rsid w:val="00CA04A0"/>
    <w:rsid w:val="00CA1E33"/>
    <w:rsid w:val="00CA2A1A"/>
    <w:rsid w:val="00CF49F1"/>
    <w:rsid w:val="00D5294C"/>
    <w:rsid w:val="00D64515"/>
    <w:rsid w:val="00DF7803"/>
    <w:rsid w:val="00EA65A5"/>
    <w:rsid w:val="00EC4AA6"/>
    <w:rsid w:val="00F36B5F"/>
    <w:rsid w:val="00F44DEE"/>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customStyle="1" w:styleId="Bullets2">
    <w:name w:val="Bullets 2"/>
    <w:basedOn w:val="Bullet"/>
    <w:rsid w:val="002D2549"/>
  </w:style>
  <w:style w:type="paragraph" w:customStyle="1" w:styleId="Bullet">
    <w:name w:val="Bullet"/>
    <w:basedOn w:val="Normal"/>
    <w:rsid w:val="002D2549"/>
    <w:pPr>
      <w:numPr>
        <w:numId w:val="17"/>
      </w:numPr>
      <w:spacing w:before="80"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288</Words>
  <Characters>1642</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7</cp:revision>
  <cp:lastPrinted>2023-04-13T19:37:00Z</cp:lastPrinted>
  <dcterms:created xsi:type="dcterms:W3CDTF">2024-09-17T21:23:00Z</dcterms:created>
  <dcterms:modified xsi:type="dcterms:W3CDTF">2024-09-20T12:15:00Z</dcterms:modified>
</cp:coreProperties>
</file>