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2071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CA04A0" w14:paraId="42600EA8" w14:textId="77777777" w:rsidTr="00CA04A0">
        <w:trPr>
          <w:trHeight w:val="9330"/>
        </w:trPr>
        <w:tc>
          <w:tcPr>
            <w:tcW w:w="11520" w:type="dxa"/>
          </w:tcPr>
          <w:p w14:paraId="133F3DB8" w14:textId="0EFF34A2" w:rsidR="00CA04A0" w:rsidRPr="00150443" w:rsidRDefault="00C608E4" w:rsidP="001504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608E4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8191BE5" wp14:editId="52F9E49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55880</wp:posOffset>
                      </wp:positionV>
                      <wp:extent cx="7162800" cy="476885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76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F8BAF" w14:textId="6615591C" w:rsidR="00B358B0" w:rsidRPr="00B358B0" w:rsidRDefault="00B358B0" w:rsidP="00B358B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From DHS:  </w:t>
                                  </w:r>
                                  <w:proofErr w:type="spellStart"/>
                                  <w:r w:rsidRPr="00B358B0"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>MnCHOICES</w:t>
                                  </w:r>
                                  <w:proofErr w:type="spellEnd"/>
                                  <w:r w:rsidRPr="00B358B0"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 legacy systems retirement</w:t>
                                  </w:r>
                                </w:p>
                                <w:p w14:paraId="1D4BA1CD" w14:textId="2F5767C7" w:rsidR="00C608E4" w:rsidRPr="00C608E4" w:rsidRDefault="00C608E4" w:rsidP="00C608E4">
                                  <w:pPr>
                                    <w:jc w:val="center"/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002060"/>
                                      <w:sz w:val="48"/>
                                      <w:szCs w:val="48"/>
                                    </w:rPr>
                                    <w:t>Title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91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4pt;margin-top:4.4pt;width:564pt;height: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" stroked="f">
                      <v:textbox>
                        <w:txbxContent>
                          <w:p w14:paraId="22DF8BAF" w14:textId="6615591C" w:rsidR="00B358B0" w:rsidRPr="00B358B0" w:rsidRDefault="00B358B0" w:rsidP="00B358B0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From DHS:  </w:t>
                            </w:r>
                            <w:proofErr w:type="spellStart"/>
                            <w:r w:rsidRPr="00B358B0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MnCHOICES</w:t>
                            </w:r>
                            <w:proofErr w:type="spellEnd"/>
                            <w:r w:rsidRPr="00B358B0"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legacy systems retirement</w:t>
                            </w:r>
                          </w:p>
                          <w:p w14:paraId="1D4BA1CD" w14:textId="2F5767C7" w:rsidR="00C608E4" w:rsidRPr="00C608E4" w:rsidRDefault="00C608E4" w:rsidP="00C608E4">
                            <w:pPr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2060"/>
                                <w:sz w:val="48"/>
                                <w:szCs w:val="48"/>
                              </w:rPr>
                              <w:t>Title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CFB523" w14:textId="77777777" w:rsidR="00B358B0" w:rsidRPr="00074245" w:rsidRDefault="00B358B0" w:rsidP="00B358B0">
            <w:pPr>
              <w:spacing w:before="180" w:after="1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>On Oct. 1, 2024, DHS will remove legacy assessment and support planning tools used by lead agencies and other assessment/support planning tools used by managed care organizations (MCOs) from </w:t>
            </w:r>
            <w:hyperlink r:id="rId7" w:history="1">
              <w:r w:rsidRPr="00074245">
                <w:rPr>
                  <w:rFonts w:eastAsia="Times New Roman" w:cstheme="minorHAnsi"/>
                  <w:color w:val="003865"/>
                  <w:sz w:val="24"/>
                  <w:szCs w:val="24"/>
                  <w:u w:val="single"/>
                </w:rPr>
                <w:t>DHS – Searchable document library (eDocs)</w:t>
              </w:r>
            </w:hyperlink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We will discontinue these documents to make sure all agencies use the </w:t>
            </w:r>
            <w:proofErr w:type="spellStart"/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revision.</w:t>
            </w:r>
          </w:p>
          <w:p w14:paraId="3864BBF5" w14:textId="77777777" w:rsidR="00B358B0" w:rsidRPr="00074245" w:rsidRDefault="00B358B0" w:rsidP="00B358B0">
            <w:pPr>
              <w:spacing w:before="180" w:after="1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>Effective Oct. 1, 2024, lead agencies will no longer be able to use the following documents to complete their work:</w:t>
            </w:r>
          </w:p>
          <w:p w14:paraId="0B8B8158" w14:textId="52CC2896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Community Alternative Care (CAC) Application/Reassessment Support Plan, DHS-3614</w:t>
            </w:r>
          </w:p>
          <w:p w14:paraId="01EDD08F" w14:textId="4DD5D145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Community Support Plan, DHS-4166</w:t>
            </w:r>
          </w:p>
          <w:p w14:paraId="1B66AB49" w14:textId="61CFCA41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Determination of Age-Appropriate Dependencies for Children Who Use Long-Term Care, DHS-3428C</w:t>
            </w:r>
          </w:p>
          <w:p w14:paraId="4CC5BEE0" w14:textId="3639AB3F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 xml:space="preserve">Health Risk Assessment Screening Document – Minnesota Senior Care Plus (MSC+), Minnesota Senior Health Options (MSHO) and Special Needs </w:t>
            </w: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BasicCare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(SNBC), DHS-3427H</w:t>
            </w:r>
          </w:p>
          <w:p w14:paraId="5938806C" w14:textId="3D81E323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 xml:space="preserve">Instructions for 6791B: The </w:t>
            </w: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Community Support Plan with Coordinated Services and Supports Form, DHS-6791C</w:t>
            </w:r>
          </w:p>
          <w:p w14:paraId="67A3A266" w14:textId="66665A7F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Instructions for Completing the CAC Application/Reassessment Support Plan, DHS-3614A</w:t>
            </w:r>
          </w:p>
          <w:p w14:paraId="0B9A03DE" w14:textId="651BAED1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Instructions to Complete the Long-Term Services and Supports Assessment and Program Information and Signature Sheet, DHS-2727A</w:t>
            </w:r>
          </w:p>
          <w:p w14:paraId="2E9302D6" w14:textId="115C4184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Long-Term Care Screening Document – Telephone Screening, DHS-3427T</w:t>
            </w:r>
          </w:p>
          <w:p w14:paraId="58E0A581" w14:textId="182F8062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Long-Term Services and Supports Assessment and Program Information and Signature Sheet, DHS-2727</w:t>
            </w:r>
          </w:p>
          <w:p w14:paraId="3D3A36EE" w14:textId="48E3123D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Minnesota Health Risk Assessment Form, DHS-3428H</w:t>
            </w:r>
          </w:p>
          <w:p w14:paraId="7D5A25F8" w14:textId="7370C11A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lastRenderedPageBreak/>
              <w:t>Minnesota Long Term Care Consultation Services Assessment Form, DHS-3428</w:t>
            </w:r>
          </w:p>
          <w:p w14:paraId="066F8F50" w14:textId="16BA6FA3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Minnesota Long Term Care Consultation Services Assessment Form: SW Section, DHS-3428A</w:t>
            </w:r>
          </w:p>
          <w:p w14:paraId="00D9990D" w14:textId="08F2683C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Minnesota Service Change Form for Elderly Waiver (EW) and Alternative Care (AC) Participants, DHS-3428G</w:t>
            </w:r>
          </w:p>
          <w:p w14:paraId="36D148E9" w14:textId="5FB87FA8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Community Support Plan with Coordinated Services and Supports Form, DHS-6791B</w:t>
            </w:r>
          </w:p>
          <w:p w14:paraId="15E6ED89" w14:textId="7ED4C311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Coordinated Services and Supports Plan Signature Sheet, DHS-6791D</w:t>
            </w:r>
          </w:p>
          <w:p w14:paraId="57336C5F" w14:textId="37CDFB34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Omnibus Budget Reconciliation Act (OBRA) Level I Criteria – Screening for Developmental Disabilities or Mental Illness, DHS-3426</w:t>
            </w:r>
          </w:p>
          <w:p w14:paraId="6AD15CEA" w14:textId="1DBFA8CC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Person’s Evaluation of Foster Care, Customized Living or Adult Day Service, DHS-3428Q</w:t>
            </w:r>
          </w:p>
          <w:p w14:paraId="7CE66621" w14:textId="1FBC2417" w:rsidR="00B358B0" w:rsidRPr="00074245" w:rsidRDefault="00B358B0" w:rsidP="00B358B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Supplemental Waiver Personal Care Assistance (PCA) Assessment and Service Plan, DHS-3428D</w:t>
            </w:r>
          </w:p>
          <w:p w14:paraId="2DE8FA33" w14:textId="77777777" w:rsidR="00B358B0" w:rsidRPr="00074245" w:rsidRDefault="00B358B0" w:rsidP="00B358B0">
            <w:pPr>
              <w:spacing w:before="450" w:after="75"/>
              <w:outlineLvl w:val="2"/>
              <w:rPr>
                <w:rFonts w:eastAsia="Times New Roman" w:cstheme="minorHAnsi"/>
                <w:b/>
                <w:bCs/>
                <w:color w:val="003865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b/>
                <w:bCs/>
                <w:color w:val="003865"/>
                <w:sz w:val="24"/>
                <w:szCs w:val="24"/>
              </w:rPr>
              <w:t>Background information</w:t>
            </w:r>
          </w:p>
          <w:p w14:paraId="5DD333E4" w14:textId="77777777" w:rsidR="00B358B0" w:rsidRPr="00074245" w:rsidRDefault="00B358B0" w:rsidP="00B358B0">
            <w:pPr>
              <w:spacing w:before="180" w:after="1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 July 1, 2024, DHS started Phase 4 (the final transition period) of the extended partner-advised rolling launch of the revised </w:t>
            </w:r>
            <w:proofErr w:type="spellStart"/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application. Phase 4 ends on Sept. 30, 2024. During Phase 4, lead agencies should:</w:t>
            </w:r>
          </w:p>
          <w:p w14:paraId="07A07441" w14:textId="77777777" w:rsidR="00B358B0" w:rsidRPr="00074245" w:rsidRDefault="00B358B0" w:rsidP="00B358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>Have </w:t>
            </w:r>
            <w:r w:rsidRPr="00074245">
              <w:rPr>
                <w:rFonts w:eastAsia="Times New Roman" w:cstheme="minorHAnsi"/>
                <w:b/>
                <w:bCs/>
                <w:sz w:val="24"/>
                <w:szCs w:val="24"/>
              </w:rPr>
              <w:t>100%</w:t>
            </w:r>
            <w:r w:rsidRPr="00074245">
              <w:rPr>
                <w:rFonts w:eastAsia="Times New Roman" w:cstheme="minorHAnsi"/>
                <w:sz w:val="24"/>
                <w:szCs w:val="24"/>
              </w:rPr>
              <w:t> of staff members conduct </w:t>
            </w:r>
            <w:r w:rsidRPr="00074245">
              <w:rPr>
                <w:rFonts w:eastAsia="Times New Roman" w:cstheme="minorHAnsi"/>
                <w:b/>
                <w:bCs/>
                <w:sz w:val="24"/>
                <w:szCs w:val="24"/>
              </w:rPr>
              <w:t>all</w:t>
            </w:r>
            <w:r w:rsidRPr="00074245">
              <w:rPr>
                <w:rFonts w:eastAsia="Times New Roman" w:cstheme="minorHAnsi"/>
                <w:sz w:val="24"/>
                <w:szCs w:val="24"/>
              </w:rPr>
              <w:t xml:space="preserve"> work in </w:t>
            </w: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revision.</w:t>
            </w:r>
          </w:p>
          <w:p w14:paraId="1EB0DE3B" w14:textId="184AC627" w:rsidR="00B358B0" w:rsidRPr="00074245" w:rsidRDefault="00B358B0" w:rsidP="00B358B0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sz w:val="24"/>
                <w:szCs w:val="24"/>
              </w:rPr>
              <w:t xml:space="preserve">Finish all existing assessments and support plans in legacy systems by Sept. 30, 2024. </w:t>
            </w: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1.0 assessments and support plans not completed by Sept. 30, 2024, will not migrate to </w:t>
            </w:r>
            <w:proofErr w:type="spellStart"/>
            <w:r w:rsidRPr="00074245">
              <w:rPr>
                <w:rFonts w:eastAsia="Times New Roman" w:cstheme="minorHAnsi"/>
                <w:sz w:val="24"/>
                <w:szCs w:val="24"/>
              </w:rPr>
              <w:t>MnCHOICES</w:t>
            </w:r>
            <w:proofErr w:type="spellEnd"/>
            <w:r w:rsidRPr="00074245">
              <w:rPr>
                <w:rFonts w:eastAsia="Times New Roman" w:cstheme="minorHAnsi"/>
                <w:sz w:val="24"/>
                <w:szCs w:val="24"/>
              </w:rPr>
              <w:t xml:space="preserve"> revision.</w:t>
            </w:r>
          </w:p>
          <w:p w14:paraId="67C47E45" w14:textId="6D2ABB05" w:rsidR="00CA04A0" w:rsidRPr="00074245" w:rsidRDefault="00B358B0" w:rsidP="00074245">
            <w:pPr>
              <w:spacing w:before="180" w:after="18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74245">
              <w:rPr>
                <w:rFonts w:eastAsia="Times New Roman" w:cstheme="minorHAnsi"/>
                <w:color w:val="000000"/>
                <w:sz w:val="24"/>
                <w:szCs w:val="24"/>
              </w:rPr>
              <w:t>Effective Oct. 1, 2024, legacy systems will no longer be available.</w:t>
            </w:r>
          </w:p>
          <w:p w14:paraId="782CFFAB" w14:textId="77777777" w:rsidR="00CA04A0" w:rsidRDefault="00CA04A0" w:rsidP="00CA04A0"/>
          <w:p w14:paraId="715944D2" w14:textId="77777777" w:rsidR="00CA04A0" w:rsidRDefault="00CA04A0" w:rsidP="00CA04A0"/>
          <w:p w14:paraId="08B21651" w14:textId="77777777" w:rsidR="00CA04A0" w:rsidRDefault="00CA04A0" w:rsidP="00CA04A0"/>
          <w:p w14:paraId="5B40072C" w14:textId="77777777" w:rsidR="00CA04A0" w:rsidRDefault="00CA04A0" w:rsidP="00074245"/>
        </w:tc>
      </w:tr>
    </w:tbl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default" r:id="rId8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1190D" w14:textId="77777777" w:rsidR="00BB1FFD" w:rsidRDefault="00BB1FFD" w:rsidP="00BB1FFD">
      <w:pPr>
        <w:spacing w:after="0" w:line="240" w:lineRule="auto"/>
      </w:pPr>
      <w:r>
        <w:separator/>
      </w:r>
    </w:p>
  </w:endnote>
  <w:endnote w:type="continuationSeparator" w:id="0">
    <w:p w14:paraId="6E17990D" w14:textId="77777777" w:rsidR="00BB1FFD" w:rsidRDefault="00BB1FFD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45462" w14:textId="77777777" w:rsidR="00BB1FFD" w:rsidRDefault="00BB1FFD" w:rsidP="00BB1FFD">
      <w:pPr>
        <w:spacing w:after="0" w:line="240" w:lineRule="auto"/>
      </w:pPr>
      <w:r>
        <w:separator/>
      </w:r>
    </w:p>
  </w:footnote>
  <w:footnote w:type="continuationSeparator" w:id="0">
    <w:p w14:paraId="3285651D" w14:textId="77777777" w:rsidR="00BB1FFD" w:rsidRDefault="00BB1FFD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12C83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4F9EC783" w:rsidR="00AF1D04" w:rsidRPr="00AF1D04" w:rsidRDefault="00B358B0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09-06-2024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4F9EC783" w:rsidR="00AF1D04" w:rsidRPr="00AF1D04" w:rsidRDefault="00B358B0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09-06-2024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A3F"/>
    <w:multiLevelType w:val="hybridMultilevel"/>
    <w:tmpl w:val="A84C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A2998"/>
    <w:multiLevelType w:val="hybridMultilevel"/>
    <w:tmpl w:val="DA8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1"/>
  </w:num>
  <w:num w:numId="2" w16cid:durableId="1797331095">
    <w:abstractNumId w:val="6"/>
  </w:num>
  <w:num w:numId="3" w16cid:durableId="214856249">
    <w:abstractNumId w:val="9"/>
  </w:num>
  <w:num w:numId="4" w16cid:durableId="1499616861">
    <w:abstractNumId w:val="13"/>
  </w:num>
  <w:num w:numId="5" w16cid:durableId="2073769093">
    <w:abstractNumId w:val="0"/>
  </w:num>
  <w:num w:numId="6" w16cid:durableId="18362904">
    <w:abstractNumId w:val="16"/>
  </w:num>
  <w:num w:numId="7" w16cid:durableId="495341996">
    <w:abstractNumId w:val="17"/>
  </w:num>
  <w:num w:numId="8" w16cid:durableId="195433800">
    <w:abstractNumId w:val="1"/>
  </w:num>
  <w:num w:numId="9" w16cid:durableId="2131320421">
    <w:abstractNumId w:val="10"/>
  </w:num>
  <w:num w:numId="10" w16cid:durableId="292836173">
    <w:abstractNumId w:val="7"/>
  </w:num>
  <w:num w:numId="11" w16cid:durableId="590047722">
    <w:abstractNumId w:val="3"/>
  </w:num>
  <w:num w:numId="12" w16cid:durableId="1674527007">
    <w:abstractNumId w:val="5"/>
  </w:num>
  <w:num w:numId="13" w16cid:durableId="1073697651">
    <w:abstractNumId w:val="4"/>
  </w:num>
  <w:num w:numId="14" w16cid:durableId="1167403472">
    <w:abstractNumId w:val="12"/>
  </w:num>
  <w:num w:numId="15" w16cid:durableId="1282767395">
    <w:abstractNumId w:val="14"/>
  </w:num>
  <w:num w:numId="16" w16cid:durableId="974333673">
    <w:abstractNumId w:val="8"/>
  </w:num>
  <w:num w:numId="17" w16cid:durableId="1069957830">
    <w:abstractNumId w:val="15"/>
  </w:num>
  <w:num w:numId="18" w16cid:durableId="12322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74245"/>
    <w:rsid w:val="00150443"/>
    <w:rsid w:val="00202404"/>
    <w:rsid w:val="00222CB4"/>
    <w:rsid w:val="00287C94"/>
    <w:rsid w:val="002E7252"/>
    <w:rsid w:val="003C1F8E"/>
    <w:rsid w:val="004D30F0"/>
    <w:rsid w:val="004F290A"/>
    <w:rsid w:val="005413CA"/>
    <w:rsid w:val="005C7FFC"/>
    <w:rsid w:val="005E07CD"/>
    <w:rsid w:val="00605891"/>
    <w:rsid w:val="0062020A"/>
    <w:rsid w:val="00661EAF"/>
    <w:rsid w:val="00667838"/>
    <w:rsid w:val="00690495"/>
    <w:rsid w:val="00696BE2"/>
    <w:rsid w:val="006B5D91"/>
    <w:rsid w:val="007808B0"/>
    <w:rsid w:val="007A5F11"/>
    <w:rsid w:val="0080562D"/>
    <w:rsid w:val="008222F9"/>
    <w:rsid w:val="00887099"/>
    <w:rsid w:val="008877C2"/>
    <w:rsid w:val="00954AF8"/>
    <w:rsid w:val="00986E5D"/>
    <w:rsid w:val="00A16F35"/>
    <w:rsid w:val="00A24223"/>
    <w:rsid w:val="00AA1C20"/>
    <w:rsid w:val="00AB049B"/>
    <w:rsid w:val="00AD5757"/>
    <w:rsid w:val="00AF1D04"/>
    <w:rsid w:val="00B358B0"/>
    <w:rsid w:val="00BB1FFD"/>
    <w:rsid w:val="00BD6DF2"/>
    <w:rsid w:val="00C608E4"/>
    <w:rsid w:val="00C911B7"/>
    <w:rsid w:val="00CA04A0"/>
    <w:rsid w:val="00CA1E33"/>
    <w:rsid w:val="00CA2A1A"/>
    <w:rsid w:val="00CF49F1"/>
    <w:rsid w:val="00D5294C"/>
    <w:rsid w:val="00EC4AA6"/>
    <w:rsid w:val="00F36B5F"/>
    <w:rsid w:val="00F5483A"/>
    <w:rsid w:val="00F610EE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n.gov/dhs/general-public/publications-forms-resources/e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413</Words>
  <Characters>2358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Heaser, Melinda</cp:lastModifiedBy>
  <cp:revision>4</cp:revision>
  <cp:lastPrinted>2023-04-13T19:37:00Z</cp:lastPrinted>
  <dcterms:created xsi:type="dcterms:W3CDTF">2024-09-05T14:55:00Z</dcterms:created>
  <dcterms:modified xsi:type="dcterms:W3CDTF">2024-09-06T12:00:00Z</dcterms:modified>
</cp:coreProperties>
</file>