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133F3DB8" w14:textId="0EFF34A2" w:rsidR="00CA04A0" w:rsidRPr="00150443" w:rsidRDefault="00C608E4" w:rsidP="001C3B51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0075F9B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57150</wp:posOffset>
                      </wp:positionV>
                      <wp:extent cx="7162800" cy="85725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18E85E2" w:rsidR="00C608E4" w:rsidRPr="00450361" w:rsidRDefault="00450361" w:rsidP="00C608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 w:rsidRPr="00450361"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  <w:t>SECUREBLUE MSHO ANNUAL NOTICE OF CHANGES (ANOC)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6pt;margin-top:4.5pt;width:564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U3Cw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" stroked="f">
                      <v:textbox>
                        <w:txbxContent>
                          <w:p w14:paraId="1D4BA1CD" w14:textId="018E85E2" w:rsidR="00C608E4" w:rsidRPr="00450361" w:rsidRDefault="00450361" w:rsidP="00C608E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450361"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SECUREBLUE MSHO ANNUAL NOTICE OF CHANGES (ANOC)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562E19" w14:textId="7D5C9D1A" w:rsidR="00450361" w:rsidRDefault="00450361" w:rsidP="00450361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 w:rsidRPr="00450361">
              <w:rPr>
                <w:rFonts w:cstheme="minorHAnsi"/>
                <w:sz w:val="24"/>
                <w:szCs w:val="24"/>
              </w:rPr>
              <w:t xml:space="preserve">In September, all current SecureBlue MSHO members will be mailed the Annual Notice of Changes (ANOC). </w:t>
            </w:r>
          </w:p>
          <w:p w14:paraId="02DE17F2" w14:textId="77777777" w:rsidR="00450361" w:rsidRDefault="00450361" w:rsidP="00450361">
            <w:pPr>
              <w:pStyle w:val="ListParagraph"/>
              <w:numPr>
                <w:ilvl w:val="0"/>
                <w:numId w:val="17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450361">
              <w:rPr>
                <w:rFonts w:cstheme="minorHAnsi"/>
                <w:sz w:val="24"/>
                <w:szCs w:val="24"/>
              </w:rPr>
              <w:t xml:space="preserve">The ANOC is a required document that is sent to Medicare members to announce important plan changes for the coming plan year. </w:t>
            </w:r>
          </w:p>
          <w:p w14:paraId="6EBCFE1D" w14:textId="3F9A1A46" w:rsidR="00450361" w:rsidRPr="00450361" w:rsidRDefault="00450361" w:rsidP="00450361">
            <w:pPr>
              <w:pStyle w:val="ListParagraph"/>
              <w:numPr>
                <w:ilvl w:val="0"/>
                <w:numId w:val="17"/>
              </w:numPr>
              <w:spacing w:before="0" w:after="120" w:line="240" w:lineRule="auto"/>
              <w:rPr>
                <w:rFonts w:cstheme="minorHAnsi"/>
                <w:sz w:val="24"/>
                <w:szCs w:val="24"/>
              </w:rPr>
            </w:pPr>
            <w:r w:rsidRPr="00450361">
              <w:rPr>
                <w:rFonts w:cstheme="minorHAnsi"/>
                <w:sz w:val="24"/>
                <w:szCs w:val="24"/>
              </w:rPr>
              <w:t>It is meant to help members make informed decisions during the Medicare Annual Enrollment Period.</w:t>
            </w:r>
          </w:p>
          <w:p w14:paraId="1E19EEB0" w14:textId="77777777" w:rsidR="00450361" w:rsidRDefault="00450361" w:rsidP="00450361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450361">
              <w:rPr>
                <w:rFonts w:cstheme="minorHAnsi"/>
                <w:sz w:val="24"/>
                <w:szCs w:val="24"/>
              </w:rPr>
              <w:t>The chart below is included in the ANOC that SecureBlue members will receive</w:t>
            </w:r>
            <w:r>
              <w:rPr>
                <w:rFonts w:cstheme="minorHAnsi"/>
                <w:sz w:val="24"/>
                <w:szCs w:val="24"/>
              </w:rPr>
              <w:t xml:space="preserve"> and is</w:t>
            </w:r>
            <w:r w:rsidRPr="00450361">
              <w:rPr>
                <w:rFonts w:cstheme="minorHAnsi"/>
                <w:sz w:val="24"/>
                <w:szCs w:val="24"/>
              </w:rPr>
              <w:t xml:space="preserve"> a summary of </w:t>
            </w:r>
            <w:r w:rsidRPr="00450361">
              <w:rPr>
                <w:rFonts w:cstheme="minorHAnsi"/>
                <w:b/>
                <w:bCs/>
                <w:sz w:val="24"/>
                <w:szCs w:val="24"/>
              </w:rPr>
              <w:t>SecureBlue</w:t>
            </w:r>
            <w:r w:rsidRPr="00450361">
              <w:rPr>
                <w:rFonts w:cstheme="minorHAnsi"/>
                <w:sz w:val="24"/>
                <w:szCs w:val="24"/>
              </w:rPr>
              <w:t xml:space="preserve"> </w:t>
            </w:r>
            <w:r w:rsidRPr="00450361">
              <w:rPr>
                <w:rFonts w:cstheme="minorHAnsi"/>
                <w:b/>
                <w:bCs/>
                <w:sz w:val="24"/>
                <w:szCs w:val="24"/>
              </w:rPr>
              <w:t>MSHO supplemental benefits changes</w:t>
            </w:r>
            <w:r w:rsidRPr="00450361">
              <w:rPr>
                <w:rFonts w:cstheme="minorHAnsi"/>
                <w:sz w:val="24"/>
                <w:szCs w:val="24"/>
              </w:rPr>
              <w:t xml:space="preserve"> from 2024 to 2025. </w:t>
            </w:r>
          </w:p>
          <w:p w14:paraId="13D203F8" w14:textId="77777777" w:rsidR="00450361" w:rsidRDefault="00450361" w:rsidP="00450361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Care Coordinators</w:t>
            </w:r>
            <w:r w:rsidRPr="00450361">
              <w:rPr>
                <w:rFonts w:cstheme="minorHAnsi"/>
                <w:sz w:val="24"/>
                <w:szCs w:val="24"/>
              </w:rPr>
              <w:t xml:space="preserve"> will receive </w:t>
            </w:r>
            <w:r>
              <w:rPr>
                <w:rFonts w:cstheme="minorHAnsi"/>
                <w:sz w:val="24"/>
                <w:szCs w:val="24"/>
              </w:rPr>
              <w:t>additional</w:t>
            </w:r>
            <w:r w:rsidRPr="00450361">
              <w:rPr>
                <w:rFonts w:cstheme="minorHAnsi"/>
                <w:sz w:val="24"/>
                <w:szCs w:val="24"/>
              </w:rPr>
              <w:t xml:space="preserve"> information about these changes during the annual Fall Blue Plus Care Coordinator training. </w:t>
            </w:r>
          </w:p>
          <w:p w14:paraId="61D2955E" w14:textId="2EE95A19" w:rsidR="00450361" w:rsidRDefault="00DC018A" w:rsidP="00450361">
            <w:pPr>
              <w:pStyle w:val="ListParagraph"/>
              <w:numPr>
                <w:ilvl w:val="0"/>
                <w:numId w:val="18"/>
              </w:numPr>
              <w:spacing w:before="0" w:after="120" w:line="240" w:lineRule="auto"/>
              <w:rPr>
                <w:rFonts w:cstheme="minorHAnsi"/>
                <w:sz w:val="24"/>
                <w:szCs w:val="24"/>
              </w:rPr>
            </w:pPr>
            <w:bookmarkStart w:id="0" w:name="_Hlk176350268"/>
            <w:r>
              <w:rPr>
                <w:rFonts w:cstheme="minorHAnsi"/>
                <w:b/>
                <w:bCs/>
                <w:sz w:val="24"/>
                <w:szCs w:val="24"/>
              </w:rPr>
              <w:t>If a member contacts you with questions after receiving their ANOC</w:t>
            </w:r>
            <w:r w:rsidRPr="00DC018A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C018A">
              <w:rPr>
                <w:rFonts w:cstheme="minorHAnsi"/>
                <w:sz w:val="24"/>
                <w:szCs w:val="24"/>
              </w:rPr>
              <w:t xml:space="preserve">you may share the </w:t>
            </w:r>
            <w:r w:rsidR="00450361" w:rsidRPr="00DC018A">
              <w:rPr>
                <w:rFonts w:cstheme="minorHAnsi"/>
                <w:sz w:val="24"/>
                <w:szCs w:val="24"/>
              </w:rPr>
              <w:t>benefit</w:t>
            </w:r>
            <w:r w:rsidR="00450361" w:rsidRPr="00450361">
              <w:rPr>
                <w:rFonts w:cstheme="minorHAnsi"/>
                <w:sz w:val="24"/>
                <w:szCs w:val="24"/>
              </w:rPr>
              <w:t xml:space="preserve"> information below.</w:t>
            </w:r>
          </w:p>
          <w:tbl>
            <w:tblPr>
              <w:tblW w:w="107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70"/>
              <w:gridCol w:w="3750"/>
              <w:gridCol w:w="3690"/>
            </w:tblGrid>
            <w:tr w:rsidR="00450361" w:rsidRPr="007B1AF0" w14:paraId="3F96685A" w14:textId="77777777" w:rsidTr="00450361">
              <w:trPr>
                <w:cantSplit/>
                <w:trHeight w:val="540"/>
                <w:tblHeader/>
                <w:jc w:val="center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bookmarkEnd w:id="0"/>
                <w:p w14:paraId="37DD27C3" w14:textId="77777777" w:rsidR="00450361" w:rsidRPr="007B1AF0" w:rsidRDefault="00450361" w:rsidP="00324BA2">
                  <w:pPr>
                    <w:pStyle w:val="TableParagraph"/>
                    <w:framePr w:hSpace="180" w:wrap="around" w:vAnchor="page" w:hAnchor="margin" w:xAlign="right" w:y="2071"/>
                    <w:snapToGrid w:val="0"/>
                    <w:spacing w:before="154" w:after="60" w:line="276" w:lineRule="auto"/>
                    <w:ind w:left="173" w:right="187"/>
                    <w:rPr>
                      <w:rFonts w:asciiTheme="minorHAnsi" w:hAnsiTheme="minorHAnsi"/>
                      <w:b/>
                      <w:bCs/>
                    </w:rPr>
                  </w:pPr>
                  <w:r w:rsidRPr="007B1AF0">
                    <w:rPr>
                      <w:rFonts w:asciiTheme="minorHAnsi" w:hAnsiTheme="minorHAnsi"/>
                      <w:b/>
                      <w:bCs/>
                    </w:rPr>
                    <w:t>Benefit</w:t>
                  </w:r>
                </w:p>
              </w:tc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3A4B3C68" w14:textId="77777777" w:rsidR="00450361" w:rsidRPr="007B1AF0" w:rsidRDefault="00450361" w:rsidP="00324BA2">
                  <w:pPr>
                    <w:pStyle w:val="ANOCtablecolumnheadersbold"/>
                    <w:framePr w:hSpace="180" w:wrap="around" w:vAnchor="page" w:hAnchor="margin" w:xAlign="right" w:y="2071"/>
                    <w:ind w:left="173" w:firstLine="0"/>
                    <w:rPr>
                      <w:rFonts w:asciiTheme="minorHAnsi" w:hAnsiTheme="minorHAnsi"/>
                    </w:rPr>
                  </w:pPr>
                  <w:r w:rsidRPr="007B1AF0">
                    <w:rPr>
                      <w:rFonts w:asciiTheme="minorHAnsi" w:hAnsiTheme="minorHAnsi"/>
                    </w:rPr>
                    <w:t>2024 (this year)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73593014" w14:textId="77777777" w:rsidR="00450361" w:rsidRPr="007B1AF0" w:rsidRDefault="00450361" w:rsidP="00324BA2">
                  <w:pPr>
                    <w:pStyle w:val="ANOCtablecolumnheadersbold"/>
                    <w:framePr w:hSpace="180" w:wrap="around" w:vAnchor="page" w:hAnchor="margin" w:xAlign="right" w:y="2071"/>
                    <w:rPr>
                      <w:rFonts w:asciiTheme="minorHAnsi" w:hAnsiTheme="minorHAnsi"/>
                    </w:rPr>
                  </w:pPr>
                  <w:r w:rsidRPr="007B1AF0">
                    <w:rPr>
                      <w:rFonts w:asciiTheme="minorHAnsi" w:hAnsiTheme="minorHAnsi"/>
                    </w:rPr>
                    <w:t>2025 (next year)</w:t>
                  </w:r>
                </w:p>
              </w:tc>
            </w:tr>
            <w:tr w:rsidR="00450361" w:rsidRPr="007B1AF0" w14:paraId="064EAB9E" w14:textId="77777777" w:rsidTr="00450361">
              <w:trPr>
                <w:trHeight w:val="589"/>
                <w:jc w:val="center"/>
              </w:trPr>
              <w:tc>
                <w:tcPr>
                  <w:tcW w:w="3270" w:type="dxa"/>
                  <w:tcBorders>
                    <w:top w:val="single" w:sz="4" w:space="0" w:color="auto"/>
                    <w:right w:val="single" w:sz="6" w:space="0" w:color="000000" w:themeColor="text1"/>
                  </w:tcBorders>
                </w:tcPr>
                <w:p w14:paraId="082E0C8E" w14:textId="77777777" w:rsidR="00450361" w:rsidRPr="00450361" w:rsidDel="0079647F" w:rsidRDefault="00450361" w:rsidP="00324BA2">
                  <w:pPr>
                    <w:pStyle w:val="ANOCtablecolumnheadersbold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Activity tracker</w:t>
                  </w:r>
                </w:p>
              </w:tc>
              <w:tc>
                <w:tcPr>
                  <w:tcW w:w="375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69A45E7A" w14:textId="77777777" w:rsidR="00450361" w:rsidRPr="00450361" w:rsidDel="0079647F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You get one activity tracker each year.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61C965AE" w14:textId="77777777" w:rsidR="00450361" w:rsidRPr="00450361" w:rsidDel="0079647F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Activity trackers are </w:t>
                  </w:r>
                  <w:r w:rsidRPr="0045036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not</w:t>
                  </w: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covered.</w:t>
                  </w:r>
                </w:p>
              </w:tc>
            </w:tr>
            <w:tr w:rsidR="00450361" w:rsidRPr="007B1AF0" w:rsidDel="0079647F" w14:paraId="17F2D82D" w14:textId="77777777" w:rsidTr="00450361">
              <w:trPr>
                <w:trHeight w:val="1180"/>
                <w:jc w:val="center"/>
              </w:trPr>
              <w:tc>
                <w:tcPr>
                  <w:tcW w:w="3270" w:type="dxa"/>
                  <w:tcBorders>
                    <w:right w:val="single" w:sz="6" w:space="0" w:color="000000" w:themeColor="text1"/>
                  </w:tcBorders>
                </w:tcPr>
                <w:p w14:paraId="131A72FD" w14:textId="77777777" w:rsidR="00450361" w:rsidRPr="00450361" w:rsidRDefault="00450361" w:rsidP="00324BA2">
                  <w:pPr>
                    <w:pStyle w:val="ANOCtablecolumnheadersbold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Dental services</w:t>
                  </w:r>
                </w:p>
              </w:tc>
              <w:tc>
                <w:tcPr>
                  <w:tcW w:w="375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78BA1C4A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One root canal any molar, one root canal retreat and one additional full mouth x-ray (once every 5 years) are covered as supplemental benefits.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16DC2E8F" w14:textId="55E48B25" w:rsidR="00585934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bookmarkStart w:id="1" w:name="_Hlk176350479"/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Medically necessary dental services </w:t>
                  </w:r>
                  <w:r w:rsidR="005859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(services recommended by the dentist) </w:t>
                  </w: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are available as part of your standard dental benefit.</w:t>
                  </w:r>
                  <w:bookmarkEnd w:id="1"/>
                </w:p>
              </w:tc>
            </w:tr>
            <w:tr w:rsidR="00450361" w:rsidRPr="007B1AF0" w:rsidDel="0079647F" w14:paraId="00AB7361" w14:textId="77777777" w:rsidTr="00450361">
              <w:trPr>
                <w:trHeight w:val="769"/>
                <w:jc w:val="center"/>
              </w:trPr>
              <w:tc>
                <w:tcPr>
                  <w:tcW w:w="3270" w:type="dxa"/>
                  <w:tcBorders>
                    <w:right w:val="single" w:sz="6" w:space="0" w:color="000000" w:themeColor="text1"/>
                  </w:tcBorders>
                </w:tcPr>
                <w:p w14:paraId="5A5C00FA" w14:textId="77777777" w:rsidR="00450361" w:rsidRPr="00450361" w:rsidRDefault="00450361" w:rsidP="00324BA2">
                  <w:pPr>
                    <w:pStyle w:val="ANOCtablecolumnheadersbold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Disposable face masks</w:t>
                  </w:r>
                </w:p>
              </w:tc>
              <w:tc>
                <w:tcPr>
                  <w:tcW w:w="375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169E4D5E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You get one box of disposable face masks each year.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520ABAC2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Disposable face masks are available within the over-the-counter items allowance.</w:t>
                  </w:r>
                </w:p>
              </w:tc>
            </w:tr>
            <w:tr w:rsidR="00450361" w:rsidRPr="007B1AF0" w:rsidDel="0079647F" w14:paraId="70C5FE2A" w14:textId="77777777" w:rsidTr="00450361">
              <w:trPr>
                <w:trHeight w:val="1180"/>
                <w:jc w:val="center"/>
              </w:trPr>
              <w:tc>
                <w:tcPr>
                  <w:tcW w:w="3270" w:type="dxa"/>
                  <w:tcBorders>
                    <w:right w:val="single" w:sz="6" w:space="0" w:color="000000" w:themeColor="text1"/>
                  </w:tcBorders>
                </w:tcPr>
                <w:p w14:paraId="4C760DFB" w14:textId="77777777" w:rsidR="00450361" w:rsidRPr="00450361" w:rsidRDefault="00450361" w:rsidP="00324BA2">
                  <w:pPr>
                    <w:pStyle w:val="ANOCtablecolumnheadersbold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Friendly helper</w:t>
                  </w:r>
                </w:p>
              </w:tc>
              <w:tc>
                <w:tcPr>
                  <w:tcW w:w="375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6803236F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You get up to sixty hours per year of in-person and virtual Friendly Helper services.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5B73490A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You get up to </w:t>
                  </w:r>
                  <w:r w:rsidRPr="0045036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forty-eight</w:t>
                  </w: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hours per year of in-person and virtual Friendly Helper services.</w:t>
                  </w:r>
                </w:p>
              </w:tc>
            </w:tr>
            <w:tr w:rsidR="00450361" w:rsidRPr="007B1AF0" w:rsidDel="0079647F" w14:paraId="140EC555" w14:textId="77777777" w:rsidTr="00450361">
              <w:trPr>
                <w:trHeight w:val="778"/>
                <w:jc w:val="center"/>
              </w:trPr>
              <w:tc>
                <w:tcPr>
                  <w:tcW w:w="3270" w:type="dxa"/>
                  <w:tcBorders>
                    <w:right w:val="single" w:sz="6" w:space="0" w:color="000000" w:themeColor="text1"/>
                  </w:tcBorders>
                </w:tcPr>
                <w:p w14:paraId="76B482EC" w14:textId="77777777" w:rsidR="00450361" w:rsidRPr="00450361" w:rsidRDefault="00450361" w:rsidP="00324BA2">
                  <w:pPr>
                    <w:pStyle w:val="ANOCtablecolumnheadersbold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Incontinence package</w:t>
                  </w:r>
                </w:p>
              </w:tc>
              <w:tc>
                <w:tcPr>
                  <w:tcW w:w="375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060F86B5" w14:textId="77777777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You get six washable/reusable pads per year for incontinence.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1CAF81AF" w14:textId="03C061AD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Washable/reusable pads for incontinence are </w:t>
                  </w:r>
                  <w:r w:rsidRPr="0045036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not</w:t>
                  </w: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covered</w:t>
                  </w:r>
                  <w:r w:rsidR="005859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585934" w:rsidRPr="005859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as a </w:t>
                  </w:r>
                  <w:r w:rsidR="005859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</w:t>
                  </w:r>
                  <w:r w:rsidR="00585934" w:rsidRPr="005859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upplemental </w:t>
                  </w:r>
                  <w:r w:rsidR="005859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b</w:t>
                  </w:r>
                  <w:r w:rsidR="00585934" w:rsidRPr="005859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enefit</w:t>
                  </w: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</w:tc>
            </w:tr>
            <w:tr w:rsidR="00450361" w:rsidRPr="007B1AF0" w:rsidDel="0079647F" w14:paraId="523D7E10" w14:textId="77777777" w:rsidTr="00450361">
              <w:trPr>
                <w:trHeight w:val="948"/>
                <w:jc w:val="center"/>
              </w:trPr>
              <w:tc>
                <w:tcPr>
                  <w:tcW w:w="3270" w:type="dxa"/>
                  <w:tcBorders>
                    <w:right w:val="single" w:sz="6" w:space="0" w:color="000000" w:themeColor="text1"/>
                  </w:tcBorders>
                </w:tcPr>
                <w:p w14:paraId="15B50E8C" w14:textId="77777777" w:rsidR="00450361" w:rsidRPr="00450361" w:rsidRDefault="00450361" w:rsidP="00324BA2">
                  <w:pPr>
                    <w:pStyle w:val="ANOCtablecolumnheadersbold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Medication dispenser and reminders</w:t>
                  </w:r>
                </w:p>
              </w:tc>
              <w:tc>
                <w:tcPr>
                  <w:tcW w:w="375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5DFBBAF8" w14:textId="77777777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You get a medication dispenser with reminders to help you safely manage medications. 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1D409915" w14:textId="77777777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ind w:right="8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You get a medication dispenser with reminders to help you safely manage medications. </w:t>
                  </w:r>
                  <w:r w:rsidRPr="0045036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Members cannot be covered by a Home and Community-Based Services waiver.</w:t>
                  </w:r>
                </w:p>
              </w:tc>
            </w:tr>
            <w:tr w:rsidR="00450361" w:rsidRPr="007B1AF0" w:rsidDel="0079647F" w14:paraId="587B4156" w14:textId="77777777" w:rsidTr="00450361">
              <w:trPr>
                <w:trHeight w:val="1180"/>
                <w:jc w:val="center"/>
              </w:trPr>
              <w:tc>
                <w:tcPr>
                  <w:tcW w:w="3270" w:type="dxa"/>
                  <w:tcBorders>
                    <w:right w:val="single" w:sz="6" w:space="0" w:color="000000" w:themeColor="text1"/>
                  </w:tcBorders>
                </w:tcPr>
                <w:p w14:paraId="1C1A17F0" w14:textId="77777777" w:rsidR="00450361" w:rsidRPr="00450361" w:rsidRDefault="00450361" w:rsidP="00324BA2">
                  <w:pPr>
                    <w:pStyle w:val="ANOCtablecolumnheadersbold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Personal Emergency Response System (PERS)</w:t>
                  </w:r>
                </w:p>
              </w:tc>
              <w:tc>
                <w:tcPr>
                  <w:tcW w:w="375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301509C9" w14:textId="77777777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You get an in-home or mobile Personal Emergency Response System to let you call for help in an emergency.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32253551" w14:textId="77777777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You get an in-home or mobile Personal Emergency Response System to let you call for help in an emergency. </w:t>
                  </w:r>
                  <w:r w:rsidRPr="0045036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Members cannot be covered by a Home and Community-Based Services waiver.</w:t>
                  </w:r>
                </w:p>
              </w:tc>
            </w:tr>
            <w:tr w:rsidR="00450361" w:rsidRPr="007B1AF0" w:rsidDel="0079647F" w14:paraId="057C4263" w14:textId="77777777" w:rsidTr="00450361">
              <w:trPr>
                <w:trHeight w:val="1180"/>
                <w:jc w:val="center"/>
              </w:trPr>
              <w:tc>
                <w:tcPr>
                  <w:tcW w:w="3270" w:type="dxa"/>
                  <w:tcBorders>
                    <w:right w:val="single" w:sz="6" w:space="0" w:color="000000" w:themeColor="text1"/>
                  </w:tcBorders>
                </w:tcPr>
                <w:p w14:paraId="0B866313" w14:textId="77777777" w:rsidR="00450361" w:rsidRPr="00450361" w:rsidRDefault="00450361" w:rsidP="00324BA2">
                  <w:pPr>
                    <w:pStyle w:val="ANOCtablecolumnheadersbold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Post-discharge services</w:t>
                  </w:r>
                </w:p>
              </w:tc>
              <w:tc>
                <w:tcPr>
                  <w:tcW w:w="375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3D9399C8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Home delivered meals</w:t>
                  </w:r>
                </w:p>
                <w:p w14:paraId="627F6B3D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You get up to two home-delivered meals per day, for a period not to exceed four weeks following an inpatient hospital or nursing home stay.</w:t>
                  </w:r>
                </w:p>
                <w:p w14:paraId="62EA4BD4" w14:textId="77777777" w:rsidR="00585934" w:rsidRDefault="00585934" w:rsidP="00324BA2">
                  <w:pPr>
                    <w:pStyle w:val="ANOCtablebodycopy"/>
                    <w:framePr w:hSpace="180" w:wrap="around" w:vAnchor="page" w:hAnchor="margin" w:xAlign="right" w:y="2071"/>
                    <w:tabs>
                      <w:tab w:val="clear" w:pos="720"/>
                    </w:tabs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D41FE57" w14:textId="2AF3B818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tabs>
                      <w:tab w:val="clear" w:pos="720"/>
                    </w:tabs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 xml:space="preserve">Healthy transitions visits </w:t>
                  </w:r>
                </w:p>
                <w:p w14:paraId="77C7411E" w14:textId="77777777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You get up to four visits from a certified community health worker during the first 30 days after a hospital or short term skilled nursing facility stay.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321A2338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tabs>
                      <w:tab w:val="clear" w:pos="720"/>
                    </w:tabs>
                    <w:spacing w:before="0" w:after="0"/>
                    <w:ind w:left="15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Home delivered meals</w:t>
                  </w:r>
                </w:p>
                <w:p w14:paraId="2FC5F6FB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You get up to two home-delivered meals per day, for a period not to exceed </w:t>
                  </w:r>
                  <w:r w:rsidRPr="0045036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two</w:t>
                  </w: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weeks following an inpatient hospital or nursing home stay.</w:t>
                  </w:r>
                </w:p>
                <w:p w14:paraId="3732B24B" w14:textId="77777777" w:rsidR="00585934" w:rsidRDefault="00585934" w:rsidP="00324BA2">
                  <w:pPr>
                    <w:pStyle w:val="ANOCtablebodycopy"/>
                    <w:framePr w:hSpace="180" w:wrap="around" w:vAnchor="page" w:hAnchor="margin" w:xAlign="right" w:y="2071"/>
                    <w:tabs>
                      <w:tab w:val="clear" w:pos="720"/>
                    </w:tabs>
                    <w:spacing w:before="0" w:after="0"/>
                    <w:ind w:left="144" w:right="20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8A0DAA4" w14:textId="516BFF6C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tabs>
                      <w:tab w:val="clear" w:pos="720"/>
                    </w:tabs>
                    <w:spacing w:before="0" w:after="0"/>
                    <w:ind w:left="144" w:right="20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 xml:space="preserve">Healthy transitions visits </w:t>
                  </w:r>
                </w:p>
                <w:p w14:paraId="2DF0AF27" w14:textId="77777777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You get up to </w:t>
                  </w:r>
                  <w:r w:rsidRPr="0045036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three</w:t>
                  </w: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visits from a certified community health worker during the first 30 days after a hospital or short term skilled nursing facility stay.</w:t>
                  </w:r>
                </w:p>
              </w:tc>
            </w:tr>
            <w:tr w:rsidR="00450361" w:rsidRPr="007B1AF0" w:rsidDel="0079647F" w14:paraId="03CF016B" w14:textId="77777777" w:rsidTr="00450361">
              <w:trPr>
                <w:trHeight w:val="1180"/>
                <w:jc w:val="center"/>
              </w:trPr>
              <w:tc>
                <w:tcPr>
                  <w:tcW w:w="3270" w:type="dxa"/>
                  <w:tcBorders>
                    <w:right w:val="single" w:sz="6" w:space="0" w:color="000000" w:themeColor="text1"/>
                  </w:tcBorders>
                </w:tcPr>
                <w:p w14:paraId="0B0B93EE" w14:textId="77777777" w:rsidR="00450361" w:rsidRPr="00450361" w:rsidRDefault="00450361" w:rsidP="00324BA2">
                  <w:pPr>
                    <w:pStyle w:val="ANOCtablecolumnheadersbold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Safety item</w:t>
                  </w:r>
                </w:p>
              </w:tc>
              <w:tc>
                <w:tcPr>
                  <w:tcW w:w="375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5636BB45" w14:textId="77777777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You get one plan selected wheelchair or walker safety item per year to safely transport necessary items.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0CBB2D8C" w14:textId="19D5BAF1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Wheelchair or walker safety item is </w:t>
                  </w:r>
                  <w:r w:rsidRPr="0045036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not</w:t>
                  </w: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covered</w:t>
                  </w:r>
                  <w:r w:rsidR="005859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585934" w:rsidRPr="005859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as a </w:t>
                  </w:r>
                  <w:r w:rsidR="005859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</w:t>
                  </w:r>
                  <w:r w:rsidR="00585934" w:rsidRPr="0058593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upplemental </w:t>
                  </w:r>
                  <w:r w:rsidR="005859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b</w:t>
                  </w:r>
                  <w:r w:rsidR="00585934" w:rsidRPr="005859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enefit</w:t>
                  </w:r>
                  <w:r w:rsidR="00585934"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</w:tc>
            </w:tr>
            <w:tr w:rsidR="00450361" w:rsidRPr="007B1AF0" w:rsidDel="0079647F" w14:paraId="15B256A9" w14:textId="77777777" w:rsidTr="00450361">
              <w:trPr>
                <w:trHeight w:val="1180"/>
                <w:jc w:val="center"/>
              </w:trPr>
              <w:tc>
                <w:tcPr>
                  <w:tcW w:w="3270" w:type="dxa"/>
                  <w:tcBorders>
                    <w:right w:val="single" w:sz="6" w:space="0" w:color="000000" w:themeColor="text1"/>
                  </w:tcBorders>
                </w:tcPr>
                <w:p w14:paraId="37762A22" w14:textId="77777777" w:rsidR="00450361" w:rsidRPr="00450361" w:rsidRDefault="00450361" w:rsidP="00324BA2">
                  <w:pPr>
                    <w:pStyle w:val="ANOCtablecolumnheadersbold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Special supplemental benefits for the chronically ill </w:t>
                  </w:r>
                  <w:r w:rsidRPr="00450361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  <w:t>(chronic condition meals, food and nutrition education)</w:t>
                  </w:r>
                </w:p>
              </w:tc>
              <w:tc>
                <w:tcPr>
                  <w:tcW w:w="375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4B3B2009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Eligibility for chronic condition meals, food and nutrition education includes members who live in a community setting and have one of the following diagnoses: </w:t>
                  </w:r>
                </w:p>
                <w:p w14:paraId="3648D043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19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Cancer</w:t>
                  </w:r>
                </w:p>
                <w:p w14:paraId="226A6FC3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19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COPD</w:t>
                  </w:r>
                </w:p>
                <w:p w14:paraId="684E4203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19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Chronic Heart Failure</w:t>
                  </w:r>
                </w:p>
                <w:p w14:paraId="1D475372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19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Coronary Artery Disease</w:t>
                  </w:r>
                </w:p>
                <w:p w14:paraId="5458F489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19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Diabetes</w:t>
                  </w:r>
                </w:p>
                <w:p w14:paraId="73AA077B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19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End-Stage Renal Disease</w:t>
                  </w:r>
                </w:p>
                <w:p w14:paraId="5CEDE01C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19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HIV/AIDS</w:t>
                  </w:r>
                </w:p>
                <w:p w14:paraId="2CBB77B4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19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Peripheral Vascular Disease</w:t>
                  </w:r>
                </w:p>
                <w:p w14:paraId="2EEBEC97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19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Rheumatoid Arthritis</w:t>
                  </w:r>
                </w:p>
                <w:p w14:paraId="2BE0192D" w14:textId="77777777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19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Stroke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4F328F4A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Eligibility for chronic condition meals, food and nutrition education includes members who live in a community setting and have one of the following diagnoses:</w:t>
                  </w:r>
                </w:p>
                <w:p w14:paraId="61AFEFB5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0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COPD</w:t>
                  </w:r>
                </w:p>
                <w:p w14:paraId="358BED30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0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Diabetes</w:t>
                  </w:r>
                </w:p>
                <w:p w14:paraId="54171CA2" w14:textId="77777777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0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Hypertension</w:t>
                  </w:r>
                </w:p>
              </w:tc>
            </w:tr>
            <w:tr w:rsidR="00450361" w:rsidRPr="007B1AF0" w:rsidDel="0079647F" w14:paraId="6ACE46DD" w14:textId="77777777" w:rsidTr="00450361">
              <w:trPr>
                <w:trHeight w:val="1180"/>
                <w:jc w:val="center"/>
              </w:trPr>
              <w:tc>
                <w:tcPr>
                  <w:tcW w:w="3270" w:type="dxa"/>
                  <w:tcBorders>
                    <w:right w:val="single" w:sz="6" w:space="0" w:color="000000" w:themeColor="text1"/>
                  </w:tcBorders>
                </w:tcPr>
                <w:p w14:paraId="75B342C5" w14:textId="77777777" w:rsidR="00450361" w:rsidRPr="00450361" w:rsidRDefault="00450361" w:rsidP="00324BA2">
                  <w:pPr>
                    <w:pStyle w:val="ANOCtablecolumnheadersbold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 xml:space="preserve">Special supplemental benefits for the chronically ill </w:t>
                  </w:r>
                  <w:r w:rsidRPr="00450361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  <w:t>(household supports for rent and utilities)</w:t>
                  </w:r>
                </w:p>
              </w:tc>
              <w:tc>
                <w:tcPr>
                  <w:tcW w:w="375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7915744D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You have an allowance of $120 per month for rent and approved utilities. Unused benefits do not roll over to next month. </w:t>
                  </w:r>
                </w:p>
                <w:p w14:paraId="471BAE2D" w14:textId="2EEEBBD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160" w:after="0"/>
                    <w:ind w:left="173" w:right="20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Household Supports debit card is provided by CVS Over-the-Counter Health Solutions.</w:t>
                  </w:r>
                </w:p>
                <w:p w14:paraId="0BF5C619" w14:textId="4A0070CD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160" w:after="0"/>
                    <w:ind w:left="173" w:right="20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Eligibility for Household Supports includes members who live in a community setting and have one of the following diagnoses:</w:t>
                  </w:r>
                </w:p>
                <w:p w14:paraId="6EBD6713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1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Cancer</w:t>
                  </w:r>
                </w:p>
                <w:p w14:paraId="7328345E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1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COPD</w:t>
                  </w:r>
                </w:p>
                <w:p w14:paraId="686DECB6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1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Chronic Heart Failure</w:t>
                  </w:r>
                </w:p>
                <w:p w14:paraId="5C1EF7FA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1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Coronary Artery Disease</w:t>
                  </w:r>
                </w:p>
                <w:p w14:paraId="2B1C274F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1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Diabetes</w:t>
                  </w:r>
                </w:p>
                <w:p w14:paraId="721CD458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1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Eng-Stage Renal Disease</w:t>
                  </w:r>
                </w:p>
                <w:p w14:paraId="570B1B38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1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HIV/AIDS</w:t>
                  </w:r>
                </w:p>
                <w:p w14:paraId="602018DF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1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Peripheral Vascular Disease</w:t>
                  </w:r>
                </w:p>
                <w:p w14:paraId="4A670192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1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Rheumatoid Arthritis</w:t>
                  </w:r>
                </w:p>
                <w:p w14:paraId="6CB420B8" w14:textId="77777777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1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Stroke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55581526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0" w:after="0"/>
                    <w:rPr>
                      <w:rStyle w:val="ui-provider"/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Style w:val="ui-provider"/>
                      <w:rFonts w:asciiTheme="minorHAnsi" w:hAnsiTheme="minorHAnsi" w:cstheme="minorHAnsi"/>
                      <w:sz w:val="24"/>
                      <w:szCs w:val="24"/>
                    </w:rPr>
                    <w:t xml:space="preserve">You have an allowance of </w:t>
                  </w:r>
                  <w:r w:rsidRPr="00450361">
                    <w:rPr>
                      <w:rStyle w:val="Strong"/>
                      <w:rFonts w:asciiTheme="minorHAnsi" w:hAnsiTheme="minorHAnsi" w:cstheme="minorHAnsi"/>
                      <w:sz w:val="24"/>
                      <w:szCs w:val="24"/>
                    </w:rPr>
                    <w:t>$260 per quarter</w:t>
                  </w:r>
                  <w:r w:rsidRPr="00450361">
                    <w:rPr>
                      <w:rStyle w:val="ui-provider"/>
                      <w:rFonts w:asciiTheme="minorHAnsi" w:hAnsiTheme="minorHAnsi" w:cstheme="minorHAnsi"/>
                      <w:sz w:val="24"/>
                      <w:szCs w:val="24"/>
                    </w:rPr>
                    <w:t xml:space="preserve"> for rent and approved utilities. Unused benefits do not roll over to next quarter.</w:t>
                  </w:r>
                </w:p>
                <w:p w14:paraId="2F3038A2" w14:textId="6EB4E7D4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160" w:after="0"/>
                    <w:ind w:left="173" w:right="20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Household Supports debit card is now </w:t>
                  </w:r>
                  <w:proofErr w:type="spellStart"/>
                  <w:r w:rsidRPr="0045036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myFlexCard</w:t>
                  </w:r>
                  <w:proofErr w:type="spellEnd"/>
                  <w:r w:rsidRPr="0045036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.</w:t>
                  </w: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Eligible members will receive a </w:t>
                  </w:r>
                  <w:proofErr w:type="spellStart"/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myFlexCard</w:t>
                  </w:r>
                  <w:proofErr w:type="spellEnd"/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debit card in the mail.</w:t>
                  </w:r>
                </w:p>
                <w:p w14:paraId="67F972EB" w14:textId="0FF275D0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spacing w:before="160" w:after="0"/>
                    <w:ind w:left="173" w:right="20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Eligibility for Household Supports includes members who live in a community setting and have one of the following diagnoses:</w:t>
                  </w:r>
                </w:p>
                <w:p w14:paraId="67BA99EE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2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COPD</w:t>
                  </w:r>
                </w:p>
                <w:p w14:paraId="7CB02343" w14:textId="77777777" w:rsidR="00450361" w:rsidRPr="00450361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2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Diabetes</w:t>
                  </w:r>
                </w:p>
                <w:p w14:paraId="0C45BF73" w14:textId="77777777" w:rsidR="00450361" w:rsidRPr="00450361" w:rsidDel="002A2F5C" w:rsidRDefault="00450361" w:rsidP="00324BA2">
                  <w:pPr>
                    <w:pStyle w:val="ANOCtablebodycopy"/>
                    <w:framePr w:hSpace="180" w:wrap="around" w:vAnchor="page" w:hAnchor="margin" w:xAlign="right" w:y="2071"/>
                    <w:numPr>
                      <w:ilvl w:val="0"/>
                      <w:numId w:val="22"/>
                    </w:numPr>
                    <w:spacing w:before="0"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50361">
                    <w:rPr>
                      <w:rFonts w:asciiTheme="minorHAnsi" w:hAnsiTheme="minorHAnsi" w:cstheme="minorHAnsi"/>
                      <w:sz w:val="24"/>
                      <w:szCs w:val="24"/>
                    </w:rPr>
                    <w:t>Hypertension</w:t>
                  </w:r>
                </w:p>
              </w:tc>
            </w:tr>
          </w:tbl>
          <w:p w14:paraId="15C53E3C" w14:textId="72D46B11" w:rsidR="00450361" w:rsidRPr="00450361" w:rsidRDefault="00450361" w:rsidP="00450361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C2F7D2E" w14:textId="60F69ADD" w:rsidR="00CA04A0" w:rsidRDefault="00CA04A0" w:rsidP="00CA04A0"/>
          <w:p w14:paraId="44E23689" w14:textId="77777777" w:rsidR="00CA04A0" w:rsidRDefault="00CA04A0" w:rsidP="00CA04A0"/>
          <w:p w14:paraId="46660C06" w14:textId="07724EFD" w:rsidR="001C3B51" w:rsidRPr="00072963" w:rsidRDefault="001C3B51" w:rsidP="00072963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B2A0D6" wp14:editId="323B825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87630</wp:posOffset>
                      </wp:positionV>
                      <wp:extent cx="7162800" cy="438150"/>
                      <wp:effectExtent l="0" t="0" r="0" b="0"/>
                      <wp:wrapSquare wrapText="bothSides"/>
                      <wp:docPr id="11187238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41494" w14:textId="55D4FEE6" w:rsidR="001C3B51" w:rsidRPr="00450361" w:rsidRDefault="001C3B51" w:rsidP="001C3B5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  <w:t>NEW MSHO BENEFITS IN 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2A0D6" id="_x0000_s1027" type="#_x0000_t202" style="position:absolute;margin-left:1.35pt;margin-top:6.9pt;width:564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" stroked="f">
                      <v:textbox>
                        <w:txbxContent>
                          <w:p w14:paraId="15641494" w14:textId="55D4FEE6" w:rsidR="001C3B51" w:rsidRPr="00450361" w:rsidRDefault="001C3B51" w:rsidP="001C3B5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NEW MSHO BENEFITS IN 2025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bookmarkStart w:id="2" w:name="_Hlk174102421"/>
            <w:r w:rsidRPr="00072963">
              <w:rPr>
                <w:rFonts w:cstheme="minorHAnsi"/>
                <w:color w:val="000000"/>
                <w:sz w:val="24"/>
                <w:szCs w:val="24"/>
              </w:rPr>
              <w:t xml:space="preserve">Effective 1/1/25, </w:t>
            </w:r>
            <w:r w:rsidRPr="0007296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ALL</w:t>
            </w:r>
            <w:r w:rsidRPr="0007296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85934" w:rsidRPr="00072963">
              <w:rPr>
                <w:rFonts w:cstheme="minorHAnsi"/>
                <w:color w:val="000000"/>
                <w:sz w:val="24"/>
                <w:szCs w:val="24"/>
              </w:rPr>
              <w:t xml:space="preserve">MSHO </w:t>
            </w:r>
            <w:r w:rsidRPr="00072963">
              <w:rPr>
                <w:rFonts w:cstheme="minorHAnsi"/>
                <w:color w:val="000000"/>
                <w:sz w:val="24"/>
                <w:szCs w:val="24"/>
              </w:rPr>
              <w:t>members will have a $0 copay on all Part D drugs!</w:t>
            </w:r>
          </w:p>
          <w:p w14:paraId="53E81F9D" w14:textId="77777777" w:rsidR="001C3B51" w:rsidRPr="001C3B51" w:rsidRDefault="001C3B51" w:rsidP="001C3B51">
            <w:pPr>
              <w:pStyle w:val="ListParagraph"/>
              <w:numPr>
                <w:ilvl w:val="0"/>
                <w:numId w:val="23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Members will receive a $50 gift card upon completion of a Medication Management Therapy visit. More details to come. </w:t>
            </w:r>
          </w:p>
          <w:bookmarkEnd w:id="2"/>
          <w:p w14:paraId="4588A7B1" w14:textId="0DDD8429" w:rsidR="00CA04A0" w:rsidRDefault="001C3B51" w:rsidP="00CA04A0"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623D943" wp14:editId="285293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221615</wp:posOffset>
                      </wp:positionV>
                      <wp:extent cx="7162800" cy="438150"/>
                      <wp:effectExtent l="0" t="0" r="0" b="0"/>
                      <wp:wrapSquare wrapText="bothSides"/>
                      <wp:docPr id="1969690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96598" w14:textId="32B6C7C0" w:rsidR="001C3B51" w:rsidRPr="00450361" w:rsidRDefault="001C3B51" w:rsidP="001C3B5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  <w:t>ALL 2025 MSHO SUPPLEMENTAL BENEFITS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3D943" id="_x0000_s1028" type="#_x0000_t202" style="position:absolute;margin-left:0;margin-top:17.45pt;width:564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" stroked="f">
                      <v:textbox>
                        <w:txbxContent>
                          <w:p w14:paraId="64496598" w14:textId="32B6C7C0" w:rsidR="001C3B51" w:rsidRPr="00450361" w:rsidRDefault="001C3B51" w:rsidP="001C3B5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ALL 2025 MSHO SUPPLEMENTAL BENEFITS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29E943" w14:textId="77777777" w:rsidR="00072963" w:rsidRDefault="00072963" w:rsidP="001C3B51">
            <w:pPr>
              <w:autoSpaceDE w:val="0"/>
              <w:autoSpaceDN w:val="0"/>
              <w:ind w:left="14"/>
              <w:rPr>
                <w:rFonts w:cstheme="minorHAnsi"/>
                <w:sz w:val="24"/>
                <w:szCs w:val="24"/>
              </w:rPr>
            </w:pPr>
            <w:bookmarkStart w:id="3" w:name="_Hlk85016063"/>
            <w:bookmarkStart w:id="4" w:name="_Hlk46146248"/>
          </w:p>
          <w:p w14:paraId="5BBC5735" w14:textId="4303358B" w:rsidR="001C3B51" w:rsidRPr="001C3B51" w:rsidRDefault="001C3B51" w:rsidP="001C3B51">
            <w:pPr>
              <w:autoSpaceDE w:val="0"/>
              <w:autoSpaceDN w:val="0"/>
              <w:ind w:left="14"/>
              <w:rPr>
                <w:rFonts w:cstheme="minorHAnsi"/>
                <w:sz w:val="24"/>
                <w:szCs w:val="24"/>
              </w:rPr>
            </w:pPr>
            <w:r w:rsidRPr="001C3B51">
              <w:rPr>
                <w:rFonts w:cstheme="minorHAnsi"/>
                <w:sz w:val="24"/>
                <w:szCs w:val="24"/>
              </w:rPr>
              <w:t xml:space="preserve">Please note: Blue Plus will review, in detail, all benefits with </w:t>
            </w:r>
            <w:r w:rsidR="00A47AAB">
              <w:rPr>
                <w:rFonts w:cstheme="minorHAnsi"/>
                <w:sz w:val="24"/>
                <w:szCs w:val="24"/>
              </w:rPr>
              <w:t>c</w:t>
            </w:r>
            <w:r w:rsidRPr="001C3B51">
              <w:rPr>
                <w:rFonts w:cstheme="minorHAnsi"/>
                <w:sz w:val="24"/>
                <w:szCs w:val="24"/>
              </w:rPr>
              <w:t xml:space="preserve">are </w:t>
            </w:r>
            <w:r w:rsidR="00A47AAB">
              <w:rPr>
                <w:rFonts w:cstheme="minorHAnsi"/>
                <w:sz w:val="24"/>
                <w:szCs w:val="24"/>
              </w:rPr>
              <w:t>c</w:t>
            </w:r>
            <w:r w:rsidRPr="001C3B51">
              <w:rPr>
                <w:rFonts w:cstheme="minorHAnsi"/>
                <w:sz w:val="24"/>
                <w:szCs w:val="24"/>
              </w:rPr>
              <w:t>oordinators during a webinar in January, and additional information about changes will be provided to care coordinators and members.</w:t>
            </w:r>
          </w:p>
          <w:p w14:paraId="7F1A5857" w14:textId="77777777" w:rsidR="001C3B51" w:rsidRPr="001C3B51" w:rsidRDefault="001C3B51" w:rsidP="001C3B51">
            <w:pPr>
              <w:autoSpaceDE w:val="0"/>
              <w:autoSpaceDN w:val="0"/>
              <w:spacing w:before="120" w:after="120"/>
              <w:ind w:left="14"/>
              <w:rPr>
                <w:rFonts w:cstheme="minorHAnsi"/>
                <w:sz w:val="24"/>
                <w:szCs w:val="24"/>
              </w:rPr>
            </w:pPr>
            <w:r w:rsidRPr="001C3B51">
              <w:rPr>
                <w:rFonts w:cstheme="minorHAnsi"/>
                <w:b/>
                <w:bCs/>
                <w:sz w:val="24"/>
                <w:szCs w:val="24"/>
              </w:rPr>
              <w:t>All 2025 MSHO Supplemental Benefits:</w:t>
            </w:r>
            <w:r w:rsidRPr="001C3B5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0BBFFB6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Blood Pressure Monitoring System (</w:t>
            </w:r>
            <w:proofErr w:type="spellStart"/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QMedic</w:t>
            </w:r>
            <w:proofErr w:type="spellEnd"/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  <w:p w14:paraId="374DB791" w14:textId="109B2251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In-home digital home blood pressure monitor to inform the member/caregiver of the member's blood pressure. </w:t>
            </w:r>
            <w:proofErr w:type="spellStart"/>
            <w:r w:rsidR="00A47AAB">
              <w:rPr>
                <w:rFonts w:cstheme="minorHAnsi"/>
                <w:color w:val="000000"/>
                <w:sz w:val="24"/>
                <w:szCs w:val="24"/>
              </w:rPr>
              <w:t>QMedic</w:t>
            </w:r>
            <w:proofErr w:type="spellEnd"/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 will notify appropriate member contact of abnormal blood pressure. Must have eligible chronic condition.</w:t>
            </w:r>
          </w:p>
          <w:p w14:paraId="3B881655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Friendly Helper (Lutheran Social Services) </w:t>
            </w:r>
          </w:p>
          <w:p w14:paraId="6ECDA0DB" w14:textId="77777777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Up to 48 hours per year of in-person or virtual services by a trained caregiver to increase community connections and monitor member wellbeing and quality of life. Services may include assistance with:</w:t>
            </w:r>
          </w:p>
          <w:p w14:paraId="61A0D390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5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friendly visiting</w:t>
            </w:r>
          </w:p>
          <w:p w14:paraId="71E12BA1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5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light household chores</w:t>
            </w:r>
          </w:p>
          <w:p w14:paraId="6653A40A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5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grocery shopping</w:t>
            </w:r>
          </w:p>
          <w:p w14:paraId="31C90AD8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5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technical guidance</w:t>
            </w:r>
          </w:p>
          <w:p w14:paraId="08B1D9F0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5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limited transportation</w:t>
            </w:r>
          </w:p>
          <w:p w14:paraId="2A027B05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Health &amp; Wellness Classes (Juniper)</w:t>
            </w:r>
          </w:p>
          <w:p w14:paraId="3C363673" w14:textId="77777777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Classes that are designed for older adults and led by certified instructors to provide education, skills, and strategies to prevent falls and promote self-management of chronic conditions. Programs are available </w:t>
            </w:r>
            <w:proofErr w:type="gramStart"/>
            <w:r w:rsidRPr="001C3B51">
              <w:rPr>
                <w:rFonts w:cstheme="minorHAnsi"/>
                <w:color w:val="000000"/>
                <w:sz w:val="24"/>
                <w:szCs w:val="24"/>
              </w:rPr>
              <w:t>at</w:t>
            </w:r>
            <w:proofErr w:type="gramEnd"/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 a broad network of participating facilities. Some classes are available online or telephonically. Includes transportation via BlueRide.</w:t>
            </w:r>
          </w:p>
          <w:p w14:paraId="06D3A622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Household Supports (</w:t>
            </w:r>
            <w:proofErr w:type="spellStart"/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myFlexCard</w:t>
            </w:r>
            <w:proofErr w:type="spellEnd"/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0991D5A" w14:textId="50462074" w:rsidR="001C3B51" w:rsidRPr="001C3B51" w:rsidRDefault="00A47AAB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Community m</w:t>
            </w:r>
            <w:r w:rsidR="001C3B51" w:rsidRPr="001C3B51">
              <w:rPr>
                <w:rFonts w:cstheme="minorHAnsi"/>
                <w:color w:val="000000"/>
                <w:sz w:val="24"/>
                <w:szCs w:val="24"/>
              </w:rPr>
              <w:t>embers with an eligible chronic condition have a $260 per quarter allowance for approved utilities and rent. Unused benefits do not roll over to the next quarter.</w:t>
            </w:r>
          </w:p>
          <w:p w14:paraId="0D07C59D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Chronic Conditions Meals and Food and Nutrition Education (NourishedRx)</w:t>
            </w:r>
          </w:p>
          <w:p w14:paraId="7E34C930" w14:textId="77777777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Up to 12 weeks per year for community members who are managing a chronic condition, plus nutrition education from a certified dietitian to make sustained dietary changes. Members may receive a combination of prepared meals, meal kits and pantry and food boxes.</w:t>
            </w:r>
          </w:p>
          <w:p w14:paraId="4A1721C6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Music Therapy (Alliance Music Therapy)</w:t>
            </w:r>
          </w:p>
          <w:p w14:paraId="74777760" w14:textId="77777777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Music Therapy for members residing in a nursing facility, customized living or adult foster care with dementia, Alzheimer's Disease, high risk of isolation, depression and other mental health related needs. Up to 26 sessions/year.</w:t>
            </w:r>
          </w:p>
          <w:p w14:paraId="262BA4E6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Over-the-Counter (CVS OTCHS)</w:t>
            </w:r>
          </w:p>
          <w:p w14:paraId="7361CB51" w14:textId="77777777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$150 per quarter allowance to purchase select over-the-counter items. Members may order by telephone, online or shop for eligible items at CVS locations. Unused benefits do not roll over to the next quarter.</w:t>
            </w:r>
          </w:p>
          <w:p w14:paraId="09C1D25F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Caregiver Emergency Care Plan (Lutheran Social Services) </w:t>
            </w:r>
          </w:p>
          <w:p w14:paraId="6BB0485F" w14:textId="77777777" w:rsid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Create an in-depth care plan to be activated if the caregiver can no longer care for their loved one. Must have eligible chronic condition.</w:t>
            </w:r>
          </w:p>
          <w:p w14:paraId="260A5041" w14:textId="77777777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4D557C0" w14:textId="77777777" w:rsidR="001C3B51" w:rsidRPr="001C3B51" w:rsidRDefault="001C3B51" w:rsidP="00A47AAB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Caregiver Empowerment Program (</w:t>
            </w:r>
            <w:proofErr w:type="spellStart"/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Ceresti</w:t>
            </w:r>
            <w:proofErr w:type="spellEnd"/>
            <w:r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Health )</w:t>
            </w:r>
          </w:p>
          <w:p w14:paraId="679448AC" w14:textId="77777777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Coaching and education to train and support the caregiver of members living with dementia, cognitive impairment, Parkinson’s Disease or stoke on best practices for managing the member’s condition.</w:t>
            </w:r>
          </w:p>
          <w:p w14:paraId="3EB4EC37" w14:textId="11AA514D" w:rsidR="001C3B51" w:rsidRPr="00A47AAB" w:rsidRDefault="00A47AAB" w:rsidP="00A47AAB">
            <w:pPr>
              <w:pStyle w:val="ListParagraph"/>
              <w:numPr>
                <w:ilvl w:val="0"/>
                <w:numId w:val="24"/>
              </w:numPr>
              <w:spacing w:before="160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3B51" w:rsidRPr="00A47A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Additional Dental Services (Delta Dental network providers)</w:t>
            </w:r>
          </w:p>
          <w:p w14:paraId="3DD6CBE1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6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1 additional preventive exam per year</w:t>
            </w:r>
          </w:p>
          <w:p w14:paraId="74583EAB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6"/>
              </w:numPr>
              <w:spacing w:before="0" w:after="16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2 crowns per year</w:t>
            </w:r>
          </w:p>
          <w:p w14:paraId="78690E58" w14:textId="13167FB2" w:rsidR="001C3B51" w:rsidRPr="001C3B51" w:rsidRDefault="00A47AAB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Additional Podiatry Services</w:t>
            </w:r>
            <w:r w:rsidR="001C3B51" w:rsidRPr="001C3B5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(in-network providers)</w:t>
            </w:r>
          </w:p>
          <w:p w14:paraId="71583948" w14:textId="77777777" w:rsidR="001C3B51" w:rsidRPr="001C3B51" w:rsidRDefault="001C3B51" w:rsidP="001C3B51">
            <w:pPr>
              <w:pStyle w:val="ListParagraph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12 visits/year for routine foot care such as nail clipping, etc.</w:t>
            </w:r>
          </w:p>
          <w:p w14:paraId="609A6DF9" w14:textId="4123BD00" w:rsidR="001C3B51" w:rsidRPr="001C3B51" w:rsidRDefault="00A47AAB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Eyeglass Upgrades (in-network providers)</w:t>
            </w:r>
          </w:p>
          <w:p w14:paraId="1F79DC2D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7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Anti-glare lens coating: up to two lenses every year</w:t>
            </w:r>
          </w:p>
          <w:p w14:paraId="21006159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7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Photochromatic lens tinting: up to two lenses every year</w:t>
            </w:r>
          </w:p>
          <w:p w14:paraId="26A3533F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7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Progressive (no-line) lenses: up to two lenses every year</w:t>
            </w:r>
          </w:p>
          <w:p w14:paraId="62BD6F67" w14:textId="612D8935" w:rsidR="001C3B51" w:rsidRPr="001C3B51" w:rsidRDefault="00A47AAB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Fitness Benefit (</w:t>
            </w:r>
            <w:proofErr w:type="spellStart"/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SilverSneakers</w:t>
            </w:r>
            <w:proofErr w:type="spellEnd"/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1867A241" w14:textId="77777777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Full fitness facility membership and access to a broad network of participating fitness clubs and exercise centers. Members can access online education on SilverSneakers.com, participate in </w:t>
            </w:r>
            <w:proofErr w:type="spellStart"/>
            <w:r w:rsidRPr="001C3B51">
              <w:rPr>
                <w:rFonts w:cstheme="minorHAnsi"/>
                <w:color w:val="000000"/>
                <w:sz w:val="24"/>
                <w:szCs w:val="24"/>
              </w:rPr>
              <w:t>SilverSneakers</w:t>
            </w:r>
            <w:proofErr w:type="spellEnd"/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 Live virtual classes, get workout videos on </w:t>
            </w:r>
            <w:proofErr w:type="spellStart"/>
            <w:r w:rsidRPr="001C3B51">
              <w:rPr>
                <w:rFonts w:cstheme="minorHAnsi"/>
                <w:color w:val="000000"/>
                <w:sz w:val="24"/>
                <w:szCs w:val="24"/>
              </w:rPr>
              <w:t>SilverSneakers</w:t>
            </w:r>
            <w:proofErr w:type="spellEnd"/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 On-</w:t>
            </w:r>
            <w:proofErr w:type="spellStart"/>
            <w:r w:rsidRPr="001C3B51">
              <w:rPr>
                <w:rFonts w:cstheme="minorHAnsi"/>
                <w:color w:val="000000"/>
                <w:sz w:val="24"/>
                <w:szCs w:val="24"/>
              </w:rPr>
              <w:t>Demand</w:t>
            </w:r>
            <w:r w:rsidRPr="001C3B51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TM</w:t>
            </w:r>
            <w:proofErr w:type="spellEnd"/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, or download the </w:t>
            </w:r>
            <w:proofErr w:type="spellStart"/>
            <w:r w:rsidRPr="001C3B51">
              <w:rPr>
                <w:rFonts w:cstheme="minorHAnsi"/>
                <w:color w:val="000000"/>
                <w:sz w:val="24"/>
                <w:szCs w:val="24"/>
              </w:rPr>
              <w:t>SilverSneakers</w:t>
            </w:r>
            <w:proofErr w:type="spellEnd"/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 GO</w:t>
            </w:r>
            <w:r w:rsidRPr="001C3B51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TM</w:t>
            </w:r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 fitness app. Includes transportation via Blue Ride. </w:t>
            </w:r>
          </w:p>
          <w:p w14:paraId="5AC8574D" w14:textId="2AF5A347" w:rsidR="001C3B51" w:rsidRPr="001C3B51" w:rsidRDefault="00A47AAB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Post-Discharge Home-Delivered Meals (Lutheran Social Services) </w:t>
            </w:r>
          </w:p>
          <w:p w14:paraId="61DBA0D4" w14:textId="4E792914" w:rsidR="001C3B51" w:rsidRPr="001C3B51" w:rsidRDefault="001C3B51" w:rsidP="005D1D78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Up to 14 meals per week for up to 2 weeks (28 meals) per episode of care (hospital or skilled nursing facility discharge) for community members to prevent readmission following an institutional stay. </w:t>
            </w:r>
          </w:p>
          <w:p w14:paraId="2C85E91D" w14:textId="4E417BBC" w:rsidR="001C3B51" w:rsidRPr="001C3B51" w:rsidRDefault="005D1D78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Post-Discharge Healthy Transitions (Lutheran Social Services)</w:t>
            </w:r>
          </w:p>
          <w:p w14:paraId="284CBC1A" w14:textId="77777777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Up to 3 in-home/telephonic visits during first 4 weeks post discharge by a certified community health worker for community members following discharge from a hospital or short term SNF stay. Visits include a home </w:t>
            </w:r>
            <w:r w:rsidRPr="001C3B51">
              <w:rPr>
                <w:rFonts w:cstheme="minorHAnsi"/>
                <w:color w:val="000000"/>
                <w:sz w:val="24"/>
                <w:szCs w:val="24"/>
              </w:rPr>
              <w:lastRenderedPageBreak/>
              <w:t>safety assessment, nutrition discussion, community resources, personal health record and review of upcoming medical appointments.</w:t>
            </w:r>
          </w:p>
          <w:p w14:paraId="22D8FEA0" w14:textId="4134B3DD" w:rsidR="001C3B51" w:rsidRPr="001C3B51" w:rsidRDefault="005D1D78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Electric Toothbrush/Replacement heads (Corner Home Medical)</w:t>
            </w:r>
          </w:p>
          <w:p w14:paraId="79ACF70B" w14:textId="77777777" w:rsidR="001C3B51" w:rsidRPr="001C3B51" w:rsidRDefault="001C3B51" w:rsidP="001C3B51">
            <w:pPr>
              <w:pStyle w:val="ListParagraph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One electric toothbrush and one package of 3 replacement heads per year</w:t>
            </w:r>
          </w:p>
          <w:p w14:paraId="7B8E66AA" w14:textId="1DE4F396" w:rsidR="001C3B51" w:rsidRPr="001C3B51" w:rsidRDefault="005D1D78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$750 Safety Item Benefit (in-network DME provider)</w:t>
            </w:r>
          </w:p>
          <w:p w14:paraId="210589C3" w14:textId="77777777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Home and bathroom safety devices and modifications to prevent injuries in the home for members not residing in an institution. Benefit may be used multiple times, maximum of $750/year.</w:t>
            </w:r>
          </w:p>
          <w:p w14:paraId="6C82B702" w14:textId="73619436" w:rsidR="001C3B51" w:rsidRPr="001C3B51" w:rsidRDefault="005D1D78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Medication Dispenser &amp; Reminders (Dose Health)</w:t>
            </w:r>
          </w:p>
          <w:p w14:paraId="6DB3B844" w14:textId="77777777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Medication dispenser + reminders for community members requiring additional medication management services to monitor multiple medications. For members not on a waiver.</w:t>
            </w:r>
          </w:p>
          <w:p w14:paraId="22B10250" w14:textId="017FC9D7" w:rsidR="001C3B51" w:rsidRPr="001C3B51" w:rsidRDefault="005D1D78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Personal Emergency Response System PERS (</w:t>
            </w:r>
            <w:proofErr w:type="spellStart"/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QMedic</w:t>
            </w:r>
            <w:proofErr w:type="spellEnd"/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7BB28968" w14:textId="77777777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In-home or mobile PERS device designed to notify appropriate personnel of an emergency. For members not on a waiver.</w:t>
            </w:r>
          </w:p>
          <w:p w14:paraId="0B4E4C87" w14:textId="1E6EF814" w:rsidR="001C3B51" w:rsidRPr="001C3B51" w:rsidRDefault="005D1D78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Animatronic Pets (</w:t>
            </w:r>
            <w:proofErr w:type="spellStart"/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QMedic</w:t>
            </w:r>
            <w:proofErr w:type="spellEnd"/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5DA8054" w14:textId="77777777" w:rsidR="001C3B51" w:rsidRPr="001C3B51" w:rsidRDefault="001C3B51" w:rsidP="001C3B51">
            <w:pPr>
              <w:autoSpaceDE w:val="0"/>
              <w:autoSpaceDN w:val="0"/>
              <w:spacing w:before="16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Choice of an animatronic cat or dog or bird for members with a cognitive impairment diagnosis to provide comfort, companionship and improve mood. One per year per member.</w:t>
            </w:r>
          </w:p>
          <w:p w14:paraId="3A79F394" w14:textId="1929BDF5" w:rsidR="001C3B51" w:rsidRPr="001C3B51" w:rsidRDefault="005D1D78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Transportation (BlueRide) to</w:t>
            </w:r>
            <w:r w:rsidR="001C3B51" w:rsidRPr="001C3B51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73823F2B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8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Alcoholics Anonymous (AA) </w:t>
            </w:r>
          </w:p>
          <w:p w14:paraId="66BE3C9F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8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Narcotics Anonymous (NA) </w:t>
            </w:r>
          </w:p>
          <w:p w14:paraId="2B287E19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8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Juniper Health and Wellness Classes </w:t>
            </w:r>
          </w:p>
          <w:p w14:paraId="4B7A52DB" w14:textId="77777777" w:rsidR="001C3B51" w:rsidRDefault="001C3B51" w:rsidP="001C3B51">
            <w:pPr>
              <w:pStyle w:val="ListParagraph"/>
              <w:widowControl/>
              <w:numPr>
                <w:ilvl w:val="0"/>
                <w:numId w:val="28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3B51">
              <w:rPr>
                <w:rFonts w:cstheme="minorHAnsi"/>
                <w:color w:val="000000"/>
                <w:sz w:val="24"/>
                <w:szCs w:val="24"/>
              </w:rPr>
              <w:t>SilverSneakers</w:t>
            </w:r>
            <w:proofErr w:type="spellEnd"/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 fitness facility locations</w:t>
            </w:r>
          </w:p>
          <w:p w14:paraId="245726F3" w14:textId="77777777" w:rsidR="00072963" w:rsidRPr="00072963" w:rsidRDefault="00072963" w:rsidP="00072963">
            <w:pPr>
              <w:spacing w:line="259" w:lineRule="auto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EC98A3B" w14:textId="222FC8DF" w:rsidR="001C3B51" w:rsidRPr="001C3B51" w:rsidRDefault="005D1D78" w:rsidP="001C3B51">
            <w:pPr>
              <w:pStyle w:val="ListParagraph"/>
              <w:widowControl/>
              <w:numPr>
                <w:ilvl w:val="0"/>
                <w:numId w:val="24"/>
              </w:numPr>
              <w:spacing w:before="160" w:after="160" w:line="259" w:lineRule="auto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="001C3B51" w:rsidRPr="001C3B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Transportation to grocery store (BlueRide)</w:t>
            </w:r>
          </w:p>
          <w:p w14:paraId="04C8B7C7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9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6 round trips per month</w:t>
            </w:r>
          </w:p>
          <w:p w14:paraId="233F0591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9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Maximum 45 miles one-way (90 miles round trip)</w:t>
            </w:r>
          </w:p>
          <w:p w14:paraId="43C54EF6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9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Shopping time is one hour</w:t>
            </w:r>
          </w:p>
          <w:p w14:paraId="0373118E" w14:textId="77777777" w:rsidR="001C3B51" w:rsidRPr="001C3B51" w:rsidRDefault="001C3B51" w:rsidP="001C3B51">
            <w:pPr>
              <w:pStyle w:val="ListParagraph"/>
              <w:widowControl/>
              <w:numPr>
                <w:ilvl w:val="0"/>
                <w:numId w:val="29"/>
              </w:numPr>
              <w:spacing w:before="0" w:line="259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 xml:space="preserve">Members must have an eligible chronic condition </w:t>
            </w:r>
          </w:p>
          <w:p w14:paraId="7075346C" w14:textId="77777777" w:rsidR="001C3B51" w:rsidRPr="001C3B51" w:rsidRDefault="001C3B51" w:rsidP="001C3B51">
            <w:pPr>
              <w:autoSpaceDE w:val="0"/>
              <w:autoSpaceDN w:val="0"/>
              <w:rPr>
                <w:rFonts w:cstheme="minorHAnsi"/>
                <w:color w:val="000000"/>
                <w:sz w:val="24"/>
                <w:szCs w:val="24"/>
              </w:rPr>
            </w:pPr>
          </w:p>
          <w:bookmarkEnd w:id="3"/>
          <w:p w14:paraId="5B690A25" w14:textId="69EF122A" w:rsidR="001C3B51" w:rsidRPr="001C3B51" w:rsidRDefault="001C3B51" w:rsidP="001C3B51">
            <w:pPr>
              <w:autoSpaceDE w:val="0"/>
              <w:autoSpaceDN w:val="0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1C3B51"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Important</w:t>
            </w: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 xml:space="preserve"> MSHO Supplemental Benefits R</w:t>
            </w:r>
            <w:r w:rsidRPr="001C3B51"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eminders</w:t>
            </w:r>
            <w:r w:rsidRPr="001C3B51">
              <w:rPr>
                <w:rFonts w:cstheme="minorHAnsi"/>
                <w:color w:val="002060"/>
                <w:sz w:val="24"/>
                <w:szCs w:val="24"/>
                <w:u w:val="single"/>
              </w:rPr>
              <w:t>:</w:t>
            </w:r>
          </w:p>
          <w:p w14:paraId="7A1EDFF1" w14:textId="77777777" w:rsidR="001C3B51" w:rsidRDefault="001C3B51" w:rsidP="001C3B5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1C3B51">
              <w:rPr>
                <w:rFonts w:cstheme="minorHAnsi"/>
                <w:sz w:val="24"/>
                <w:szCs w:val="24"/>
              </w:rPr>
              <w:t xml:space="preserve">Supplemental benefits are approved on an annual basis by CMS. </w:t>
            </w:r>
          </w:p>
          <w:p w14:paraId="5409FF9E" w14:textId="00F5A0D9" w:rsidR="001C3B51" w:rsidRDefault="001C3B51" w:rsidP="001C3B5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1C3B51">
              <w:rPr>
                <w:rFonts w:cstheme="minorHAnsi"/>
                <w:sz w:val="24"/>
                <w:szCs w:val="24"/>
              </w:rPr>
              <w:t>2024 MSHO supplemental benefits must end on 12/31/24, however, if the benefit is offered in 2025, it may be continued for the member</w:t>
            </w:r>
            <w:r w:rsidR="005D1D78">
              <w:rPr>
                <w:rFonts w:cstheme="minorHAnsi"/>
                <w:sz w:val="24"/>
                <w:szCs w:val="24"/>
              </w:rPr>
              <w:t>, if the member remains eligible.</w:t>
            </w:r>
          </w:p>
          <w:p w14:paraId="407D46EA" w14:textId="72A36A90" w:rsidR="001C3B51" w:rsidRDefault="001C3B51" w:rsidP="001C3B5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1C3B51">
              <w:rPr>
                <w:rFonts w:cstheme="minorHAnsi"/>
                <w:sz w:val="24"/>
                <w:szCs w:val="24"/>
              </w:rPr>
              <w:t>If a member is choosing to discontinue an MSHO supplemental benefit</w:t>
            </w:r>
            <w:r w:rsidR="005D1D78">
              <w:rPr>
                <w:rFonts w:cstheme="minorHAnsi"/>
                <w:sz w:val="24"/>
                <w:szCs w:val="24"/>
              </w:rPr>
              <w:t xml:space="preserve"> or is no longer eligible</w:t>
            </w:r>
            <w:r w:rsidRPr="001C3B51">
              <w:rPr>
                <w:rFonts w:cstheme="minorHAnsi"/>
                <w:sz w:val="24"/>
                <w:szCs w:val="24"/>
              </w:rPr>
              <w:t xml:space="preserve"> in 2025, please inform the provider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526153D" w14:textId="023C000A" w:rsidR="001C3B51" w:rsidRPr="001C3B51" w:rsidRDefault="001C3B51" w:rsidP="001C3B5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1C3B51">
              <w:rPr>
                <w:rFonts w:cstheme="minorHAnsi"/>
                <w:sz w:val="24"/>
                <w:szCs w:val="24"/>
              </w:rPr>
              <w:t xml:space="preserve">If you are referring a member to a supplemental benefit, ensure they have active MSHO coverage and meet the eligibility criteria for each benefit. Refer to the Member Eligibility column on the </w:t>
            </w:r>
            <w:hyperlink r:id="rId7" w:history="1">
              <w:r w:rsidRPr="001C3B51">
                <w:rPr>
                  <w:rStyle w:val="Hyperlink"/>
                  <w:rFonts w:cstheme="minorHAnsi"/>
                  <w:sz w:val="24"/>
                  <w:szCs w:val="24"/>
                </w:rPr>
                <w:t>2024 SecureBlue MSHO Supplemental Benefits (at a glance) document</w:t>
              </w:r>
            </w:hyperlink>
            <w:r w:rsidRPr="001C3B51">
              <w:rPr>
                <w:rFonts w:cstheme="minorHAnsi"/>
                <w:sz w:val="24"/>
                <w:szCs w:val="24"/>
              </w:rPr>
              <w:t xml:space="preserve"> (2025 coming soon!).</w:t>
            </w:r>
          </w:p>
          <w:p w14:paraId="67736897" w14:textId="55343243" w:rsidR="001C3B51" w:rsidRDefault="001C3B51" w:rsidP="001C3B5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1C3B51">
              <w:rPr>
                <w:rFonts w:cstheme="minorHAnsi"/>
                <w:sz w:val="24"/>
                <w:szCs w:val="24"/>
              </w:rPr>
              <w:t>If a member is receiving on-going services from a</w:t>
            </w:r>
            <w:r w:rsidR="005D1D78">
              <w:rPr>
                <w:rFonts w:cstheme="minorHAnsi"/>
                <w:sz w:val="24"/>
                <w:szCs w:val="24"/>
              </w:rPr>
              <w:t xml:space="preserve">n </w:t>
            </w:r>
            <w:r w:rsidRPr="001C3B51">
              <w:rPr>
                <w:rFonts w:cstheme="minorHAnsi"/>
                <w:sz w:val="24"/>
                <w:szCs w:val="24"/>
              </w:rPr>
              <w:t xml:space="preserve">MSHO supplemental benefit provider (Alliance Music Therapy, </w:t>
            </w:r>
            <w:proofErr w:type="spellStart"/>
            <w:r w:rsidRPr="001C3B51">
              <w:rPr>
                <w:rFonts w:cstheme="minorHAnsi"/>
                <w:sz w:val="24"/>
                <w:szCs w:val="24"/>
              </w:rPr>
              <w:t>Ceresti</w:t>
            </w:r>
            <w:proofErr w:type="spellEnd"/>
            <w:r w:rsidRPr="001C3B51">
              <w:rPr>
                <w:rFonts w:cstheme="minorHAnsi"/>
                <w:sz w:val="24"/>
                <w:szCs w:val="24"/>
              </w:rPr>
              <w:t xml:space="preserve">, Dose, Juniper, LSS, </w:t>
            </w:r>
            <w:proofErr w:type="spellStart"/>
            <w:r w:rsidRPr="001C3B51">
              <w:rPr>
                <w:rFonts w:cstheme="minorHAnsi"/>
                <w:sz w:val="24"/>
                <w:szCs w:val="24"/>
              </w:rPr>
              <w:t>NourishedRx</w:t>
            </w:r>
            <w:proofErr w:type="spellEnd"/>
            <w:r w:rsidRPr="001C3B5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3B51">
              <w:rPr>
                <w:rFonts w:cstheme="minorHAnsi"/>
                <w:sz w:val="24"/>
                <w:szCs w:val="24"/>
              </w:rPr>
              <w:t>QMedic</w:t>
            </w:r>
            <w:proofErr w:type="spellEnd"/>
            <w:r w:rsidRPr="001C3B51">
              <w:rPr>
                <w:rFonts w:cstheme="minorHAnsi"/>
                <w:sz w:val="24"/>
                <w:szCs w:val="24"/>
              </w:rPr>
              <w:t xml:space="preserve">) and the member loses SecureBlue MSHO eligibility (i.e. due to redetermination, chooses another health plan, etc), </w:t>
            </w:r>
            <w:r w:rsidRPr="001C3B51">
              <w:rPr>
                <w:rFonts w:cstheme="minorHAnsi"/>
                <w:b/>
                <w:bCs/>
                <w:sz w:val="24"/>
                <w:szCs w:val="24"/>
              </w:rPr>
              <w:t>you must inform the provider</w:t>
            </w:r>
            <w:r w:rsidRPr="001C3B51">
              <w:rPr>
                <w:rFonts w:cstheme="minorHAnsi"/>
                <w:sz w:val="24"/>
                <w:szCs w:val="24"/>
              </w:rPr>
              <w:t xml:space="preserve"> </w:t>
            </w:r>
            <w:r w:rsidRPr="001C3B51">
              <w:rPr>
                <w:rFonts w:cstheme="minorHAnsi"/>
                <w:b/>
                <w:bCs/>
                <w:sz w:val="24"/>
                <w:szCs w:val="24"/>
              </w:rPr>
              <w:t>that the member is no longer eligible, and services should be stopped</w:t>
            </w:r>
            <w:r w:rsidRPr="001C3B51">
              <w:rPr>
                <w:rFonts w:cstheme="minorHAnsi"/>
                <w:sz w:val="24"/>
                <w:szCs w:val="24"/>
              </w:rPr>
              <w:t>. Supplemental benefit providers may not be aware that a member has termed from SecureBlue MSHO.</w:t>
            </w:r>
            <w:r w:rsidRPr="001C3B51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  <w:p w14:paraId="43248289" w14:textId="6FF00EC4" w:rsidR="001C3B51" w:rsidRPr="001C3B51" w:rsidRDefault="001C3B51" w:rsidP="001C3B5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1C3B51">
              <w:rPr>
                <w:rFonts w:cstheme="minorHAnsi"/>
                <w:sz w:val="24"/>
                <w:szCs w:val="24"/>
              </w:rPr>
              <w:t xml:space="preserve">Please continue to share your comments on vendor experiences so we can improve the benefits for our members and processes for you. Send feedback to: </w:t>
            </w:r>
            <w:hyperlink r:id="rId8" w:history="1">
              <w:r w:rsidRPr="001C3B51">
                <w:rPr>
                  <w:rStyle w:val="Hyperlink"/>
                  <w:rFonts w:cstheme="minorHAnsi"/>
                  <w:sz w:val="24"/>
                  <w:szCs w:val="24"/>
                </w:rPr>
                <w:t>jenna.rangel@bluecrossmn.com</w:t>
              </w:r>
            </w:hyperlink>
            <w:r w:rsidRPr="001C3B51">
              <w:rPr>
                <w:rFonts w:cstheme="minorHAnsi"/>
                <w:sz w:val="24"/>
                <w:szCs w:val="24"/>
              </w:rPr>
              <w:t>.</w:t>
            </w:r>
          </w:p>
          <w:p w14:paraId="26EFA5C1" w14:textId="77777777" w:rsidR="001C3B51" w:rsidRPr="001C3B51" w:rsidRDefault="001C3B51" w:rsidP="001C3B51">
            <w:pPr>
              <w:autoSpaceDE w:val="0"/>
              <w:autoSpaceDN w:val="0"/>
              <w:ind w:left="15"/>
              <w:rPr>
                <w:rStyle w:val="Hyperlink"/>
                <w:rFonts w:cstheme="minorHAnsi"/>
                <w:sz w:val="24"/>
                <w:szCs w:val="24"/>
              </w:rPr>
            </w:pPr>
          </w:p>
          <w:p w14:paraId="6AB087D3" w14:textId="77777777" w:rsidR="001C3B51" w:rsidRPr="001C3B51" w:rsidRDefault="001C3B51" w:rsidP="001C3B51">
            <w:pPr>
              <w:autoSpaceDE w:val="0"/>
              <w:autoSpaceDN w:val="0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 w:rsidRPr="001C3B51">
              <w:rPr>
                <w:rFonts w:cstheme="minorHAnsi"/>
                <w:color w:val="000000"/>
                <w:sz w:val="24"/>
                <w:szCs w:val="24"/>
              </w:rPr>
              <w:t>Thank you,</w:t>
            </w:r>
            <w:bookmarkEnd w:id="4"/>
          </w:p>
          <w:p w14:paraId="1157A37D" w14:textId="77777777" w:rsidR="001C3B51" w:rsidRPr="001C3B51" w:rsidRDefault="001C3B51" w:rsidP="001C3B51">
            <w:pPr>
              <w:autoSpaceDE w:val="0"/>
              <w:autoSpaceDN w:val="0"/>
              <w:ind w:left="15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C3B51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Partner Relations Team | Government Markets  </w:t>
            </w:r>
          </w:p>
          <w:p w14:paraId="6A27B339" w14:textId="77777777" w:rsidR="001C3B51" w:rsidRPr="001C3B51" w:rsidRDefault="00324BA2" w:rsidP="001C3B51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9" w:history="1">
              <w:r w:rsidR="001C3B51" w:rsidRPr="001C3B51">
                <w:rPr>
                  <w:rStyle w:val="Hyperlink"/>
                  <w:rFonts w:cstheme="minorHAnsi"/>
                  <w:sz w:val="24"/>
                  <w:szCs w:val="24"/>
                </w:rPr>
                <w:t>Partner.Relations@bluecrossmn.com</w:t>
              </w:r>
            </w:hyperlink>
          </w:p>
          <w:p w14:paraId="5B40072C" w14:textId="77777777" w:rsidR="00CA04A0" w:rsidRDefault="00CA04A0" w:rsidP="001C3B51"/>
        </w:tc>
      </w:tr>
    </w:tbl>
    <w:p w14:paraId="3544C243" w14:textId="5BAACBA1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0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5" w:name="_Hlk132280772"/>
                          <w:bookmarkEnd w:id="5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6" w:name="_Hlk132280772"/>
                    <w:bookmarkEnd w:id="6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415F3AB9" w:rsidR="00AF1D04" w:rsidRPr="00AF1D04" w:rsidRDefault="00450361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09</w:t>
                          </w:r>
                          <w:r w:rsidR="007A5F11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 w:rsidR="00DC018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06</w:t>
                          </w:r>
                          <w:r w:rsidR="007A5F11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30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415F3AB9" w:rsidR="00AF1D04" w:rsidRPr="00AF1D04" w:rsidRDefault="00450361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09</w:t>
                    </w:r>
                    <w:r w:rsidR="007A5F11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 w:rsidR="00DC018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06</w:t>
                    </w:r>
                    <w:r w:rsidR="007A5F11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90C73"/>
    <w:multiLevelType w:val="hybridMultilevel"/>
    <w:tmpl w:val="8D429DE2"/>
    <w:lvl w:ilvl="0" w:tplc="B2B8A8D4">
      <w:start w:val="1"/>
      <w:numFmt w:val="bullet"/>
      <w:lvlText w:val="–"/>
      <w:lvlJc w:val="left"/>
      <w:pPr>
        <w:ind w:left="896" w:hanging="360"/>
      </w:pPr>
      <w:rPr>
        <w:rFonts w:ascii="Arial" w:hAnsi="Aria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0EC731C"/>
    <w:multiLevelType w:val="hybridMultilevel"/>
    <w:tmpl w:val="75326D0A"/>
    <w:lvl w:ilvl="0" w:tplc="B2B8A8D4">
      <w:start w:val="1"/>
      <w:numFmt w:val="bullet"/>
      <w:lvlText w:val="–"/>
      <w:lvlJc w:val="left"/>
      <w:pPr>
        <w:ind w:left="896" w:hanging="360"/>
      </w:pPr>
      <w:rPr>
        <w:rFonts w:ascii="Arial" w:hAnsi="Aria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11797BD4"/>
    <w:multiLevelType w:val="hybridMultilevel"/>
    <w:tmpl w:val="A6A8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6B30"/>
    <w:multiLevelType w:val="hybridMultilevel"/>
    <w:tmpl w:val="AACA7FAE"/>
    <w:lvl w:ilvl="0" w:tplc="B2B8A8D4">
      <w:start w:val="1"/>
      <w:numFmt w:val="bullet"/>
      <w:lvlText w:val="–"/>
      <w:lvlJc w:val="left"/>
      <w:pPr>
        <w:ind w:left="896" w:hanging="360"/>
      </w:pPr>
      <w:rPr>
        <w:rFonts w:ascii="Arial" w:hAnsi="Aria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1ADD42AF"/>
    <w:multiLevelType w:val="hybridMultilevel"/>
    <w:tmpl w:val="E2766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96C72"/>
    <w:multiLevelType w:val="hybridMultilevel"/>
    <w:tmpl w:val="9C365552"/>
    <w:lvl w:ilvl="0" w:tplc="B92C6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432C23"/>
    <w:multiLevelType w:val="hybridMultilevel"/>
    <w:tmpl w:val="E46C8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C21A6"/>
    <w:multiLevelType w:val="hybridMultilevel"/>
    <w:tmpl w:val="07AC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97D80"/>
    <w:multiLevelType w:val="hybridMultilevel"/>
    <w:tmpl w:val="BC5C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B074B3"/>
    <w:multiLevelType w:val="hybridMultilevel"/>
    <w:tmpl w:val="2A542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 w15:restartNumberingAfterBreak="0">
    <w:nsid w:val="65704BC6"/>
    <w:multiLevelType w:val="hybridMultilevel"/>
    <w:tmpl w:val="4AB0A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B0D0E"/>
    <w:multiLevelType w:val="hybridMultilevel"/>
    <w:tmpl w:val="F418CE22"/>
    <w:lvl w:ilvl="0" w:tplc="B2B8A8D4">
      <w:start w:val="1"/>
      <w:numFmt w:val="bullet"/>
      <w:lvlText w:val="–"/>
      <w:lvlJc w:val="left"/>
      <w:pPr>
        <w:ind w:left="896" w:hanging="360"/>
      </w:pPr>
      <w:rPr>
        <w:rFonts w:ascii="Arial" w:hAnsi="Aria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7A3801A0"/>
    <w:multiLevelType w:val="hybridMultilevel"/>
    <w:tmpl w:val="C358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5B4142"/>
    <w:multiLevelType w:val="hybridMultilevel"/>
    <w:tmpl w:val="7AEC5408"/>
    <w:lvl w:ilvl="0" w:tplc="4A04D68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283610">
    <w:abstractNumId w:val="20"/>
  </w:num>
  <w:num w:numId="2" w16cid:durableId="1797331095">
    <w:abstractNumId w:val="14"/>
  </w:num>
  <w:num w:numId="3" w16cid:durableId="214856249">
    <w:abstractNumId w:val="18"/>
  </w:num>
  <w:num w:numId="4" w16cid:durableId="1499616861">
    <w:abstractNumId w:val="22"/>
  </w:num>
  <w:num w:numId="5" w16cid:durableId="2073769093">
    <w:abstractNumId w:val="0"/>
  </w:num>
  <w:num w:numId="6" w16cid:durableId="18362904">
    <w:abstractNumId w:val="27"/>
  </w:num>
  <w:num w:numId="7" w16cid:durableId="495341996">
    <w:abstractNumId w:val="28"/>
  </w:num>
  <w:num w:numId="8" w16cid:durableId="195433800">
    <w:abstractNumId w:val="8"/>
  </w:num>
  <w:num w:numId="9" w16cid:durableId="2131320421">
    <w:abstractNumId w:val="19"/>
  </w:num>
  <w:num w:numId="10" w16cid:durableId="292836173">
    <w:abstractNumId w:val="16"/>
  </w:num>
  <w:num w:numId="11" w16cid:durableId="590047722">
    <w:abstractNumId w:val="9"/>
  </w:num>
  <w:num w:numId="12" w16cid:durableId="1674527007">
    <w:abstractNumId w:val="12"/>
  </w:num>
  <w:num w:numId="13" w16cid:durableId="1073697651">
    <w:abstractNumId w:val="10"/>
  </w:num>
  <w:num w:numId="14" w16cid:durableId="1167403472">
    <w:abstractNumId w:val="21"/>
  </w:num>
  <w:num w:numId="15" w16cid:durableId="1282767395">
    <w:abstractNumId w:val="24"/>
  </w:num>
  <w:num w:numId="16" w16cid:durableId="974333673">
    <w:abstractNumId w:val="17"/>
  </w:num>
  <w:num w:numId="17" w16cid:durableId="1358890441">
    <w:abstractNumId w:val="3"/>
  </w:num>
  <w:num w:numId="18" w16cid:durableId="338000585">
    <w:abstractNumId w:val="13"/>
  </w:num>
  <w:num w:numId="19" w16cid:durableId="1385644433">
    <w:abstractNumId w:val="1"/>
  </w:num>
  <w:num w:numId="20" w16cid:durableId="1897232802">
    <w:abstractNumId w:val="2"/>
  </w:num>
  <w:num w:numId="21" w16cid:durableId="343410367">
    <w:abstractNumId w:val="25"/>
  </w:num>
  <w:num w:numId="22" w16cid:durableId="1683893197">
    <w:abstractNumId w:val="4"/>
  </w:num>
  <w:num w:numId="23" w16cid:durableId="1368330921">
    <w:abstractNumId w:val="29"/>
  </w:num>
  <w:num w:numId="24" w16cid:durableId="581182418">
    <w:abstractNumId w:val="15"/>
  </w:num>
  <w:num w:numId="25" w16cid:durableId="1198616143">
    <w:abstractNumId w:val="6"/>
  </w:num>
  <w:num w:numId="26" w16cid:durableId="743990886">
    <w:abstractNumId w:val="5"/>
  </w:num>
  <w:num w:numId="27" w16cid:durableId="823813128">
    <w:abstractNumId w:val="23"/>
  </w:num>
  <w:num w:numId="28" w16cid:durableId="1942755400">
    <w:abstractNumId w:val="11"/>
  </w:num>
  <w:num w:numId="29" w16cid:durableId="111363207">
    <w:abstractNumId w:val="7"/>
  </w:num>
  <w:num w:numId="30" w16cid:durableId="8829049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72963"/>
    <w:rsid w:val="00150443"/>
    <w:rsid w:val="001C3B51"/>
    <w:rsid w:val="00222CB4"/>
    <w:rsid w:val="00287C94"/>
    <w:rsid w:val="00295700"/>
    <w:rsid w:val="002E7252"/>
    <w:rsid w:val="00324BA2"/>
    <w:rsid w:val="0039590E"/>
    <w:rsid w:val="003C1F8E"/>
    <w:rsid w:val="00403D56"/>
    <w:rsid w:val="00450361"/>
    <w:rsid w:val="004D30F0"/>
    <w:rsid w:val="0052350E"/>
    <w:rsid w:val="005413CA"/>
    <w:rsid w:val="00585934"/>
    <w:rsid w:val="005C7FFC"/>
    <w:rsid w:val="005D1D78"/>
    <w:rsid w:val="005E07CD"/>
    <w:rsid w:val="00605891"/>
    <w:rsid w:val="00621FEE"/>
    <w:rsid w:val="00661EAF"/>
    <w:rsid w:val="00667838"/>
    <w:rsid w:val="00690495"/>
    <w:rsid w:val="00696BE2"/>
    <w:rsid w:val="006B5D91"/>
    <w:rsid w:val="007808B0"/>
    <w:rsid w:val="007A5F11"/>
    <w:rsid w:val="007D16CB"/>
    <w:rsid w:val="0080562D"/>
    <w:rsid w:val="008222F9"/>
    <w:rsid w:val="00887099"/>
    <w:rsid w:val="008877C2"/>
    <w:rsid w:val="009011C8"/>
    <w:rsid w:val="00911C2D"/>
    <w:rsid w:val="00954AF8"/>
    <w:rsid w:val="009626A0"/>
    <w:rsid w:val="00986E5D"/>
    <w:rsid w:val="00A16F35"/>
    <w:rsid w:val="00A24223"/>
    <w:rsid w:val="00A47AAB"/>
    <w:rsid w:val="00AA1C20"/>
    <w:rsid w:val="00AB049B"/>
    <w:rsid w:val="00AD5757"/>
    <w:rsid w:val="00AF1D04"/>
    <w:rsid w:val="00BB1FFD"/>
    <w:rsid w:val="00BD6DF2"/>
    <w:rsid w:val="00C608E4"/>
    <w:rsid w:val="00CA04A0"/>
    <w:rsid w:val="00CA1E33"/>
    <w:rsid w:val="00CA2A1A"/>
    <w:rsid w:val="00CF49F1"/>
    <w:rsid w:val="00D5294C"/>
    <w:rsid w:val="00DC018A"/>
    <w:rsid w:val="00EC4AA6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50361"/>
    <w:pPr>
      <w:widowControl w:val="0"/>
      <w:autoSpaceDE w:val="0"/>
      <w:autoSpaceDN w:val="0"/>
      <w:spacing w:after="0" w:line="240" w:lineRule="auto"/>
      <w:ind w:left="122"/>
    </w:pPr>
    <w:rPr>
      <w:rFonts w:ascii="Arial" w:eastAsia="Arial" w:hAnsi="Arial" w:cs="Arial"/>
      <w14:ligatures w14:val="standardContextual"/>
    </w:rPr>
  </w:style>
  <w:style w:type="paragraph" w:customStyle="1" w:styleId="ANOCtablecolumnheadersbold">
    <w:name w:val="ANOC table column headers bold"/>
    <w:basedOn w:val="TableParagraph"/>
    <w:qFormat/>
    <w:rsid w:val="00450361"/>
    <w:pPr>
      <w:snapToGrid w:val="0"/>
      <w:spacing w:before="154" w:after="60" w:line="276" w:lineRule="auto"/>
      <w:ind w:left="177" w:hanging="1"/>
    </w:pPr>
    <w:rPr>
      <w:b/>
    </w:rPr>
  </w:style>
  <w:style w:type="paragraph" w:customStyle="1" w:styleId="ANOCtablebodycopy">
    <w:name w:val="ANOC table body copy"/>
    <w:basedOn w:val="TableParagraph"/>
    <w:qFormat/>
    <w:rsid w:val="00450361"/>
    <w:pPr>
      <w:tabs>
        <w:tab w:val="left" w:pos="720"/>
      </w:tabs>
      <w:snapToGrid w:val="0"/>
      <w:spacing w:before="152" w:after="60" w:line="276" w:lineRule="auto"/>
      <w:ind w:left="176" w:right="203"/>
    </w:pPr>
  </w:style>
  <w:style w:type="character" w:customStyle="1" w:styleId="ui-provider">
    <w:name w:val="ui-provider"/>
    <w:basedOn w:val="DefaultParagraphFont"/>
    <w:rsid w:val="00450361"/>
  </w:style>
  <w:style w:type="character" w:styleId="CommentReference">
    <w:name w:val="annotation reference"/>
    <w:basedOn w:val="DefaultParagraphFont"/>
    <w:uiPriority w:val="99"/>
    <w:semiHidden/>
    <w:unhideWhenUsed/>
    <w:rsid w:val="00450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3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3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a.rangel@bluecrossm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coordination.bluecrossmn.com/wp-content/uploads/2024/03/2024-SecureBlue-MSHO-Supplemental-Benefits-Grid_3-1-2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rtner.Relations@bluecrossm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1826</Words>
  <Characters>10411</Characters>
  <Application>Microsoft Office Word</Application>
  <DocSecurity>8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3</cp:revision>
  <cp:lastPrinted>2023-04-13T19:37:00Z</cp:lastPrinted>
  <dcterms:created xsi:type="dcterms:W3CDTF">2024-09-04T20:09:00Z</dcterms:created>
  <dcterms:modified xsi:type="dcterms:W3CDTF">2024-09-06T11:57:00Z</dcterms:modified>
</cp:coreProperties>
</file>