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496"/>
      </w:tblGrid>
      <w:tr w:rsidR="00CA04A0" w14:paraId="42600EA8" w14:textId="77777777" w:rsidTr="00561B5C">
        <w:trPr>
          <w:trHeight w:val="9330"/>
        </w:trPr>
        <w:tc>
          <w:tcPr>
            <w:tcW w:w="8070" w:type="dxa"/>
          </w:tcPr>
          <w:p w14:paraId="3103CE70" w14:textId="72B1D6CE" w:rsidR="006B354A" w:rsidRPr="002C43B0" w:rsidRDefault="00C608E4" w:rsidP="008D23E2">
            <w:pPr>
              <w:spacing w:before="60" w:after="60"/>
              <w:jc w:val="center"/>
              <w:rPr>
                <w:rFonts w:cstheme="minorHAnsi"/>
              </w:rPr>
            </w:pPr>
            <w:r w:rsidRPr="00C1515C">
              <w:rPr>
                <w:rFonts w:ascii="Arial" w:hAnsi="Arial" w:cs="Arial"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0CF59862">
                      <wp:simplePos x="0" y="0"/>
                      <wp:positionH relativeFrom="column">
                        <wp:posOffset>26060</wp:posOffset>
                      </wp:positionH>
                      <wp:positionV relativeFrom="paragraph">
                        <wp:posOffset>188824</wp:posOffset>
                      </wp:positionV>
                      <wp:extent cx="7162800" cy="53340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6A82ADD0" w:rsidR="00C608E4" w:rsidRPr="00913189" w:rsidRDefault="002B351E" w:rsidP="00C608E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  <w:r w:rsidRPr="0091318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  <w:t xml:space="preserve">MSHO Supplemental Benefit </w:t>
                                  </w:r>
                                  <w:r w:rsidR="00E2085A" w:rsidRPr="0091318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  <w:t xml:space="preserve">Reminders and </w:t>
                                  </w:r>
                                  <w:r w:rsidRPr="0091318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  <w:t>Updates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05pt;margin-top:14.85pt;width:564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hpCwIAAPYDAAAOAAAAZHJzL2Uyb0RvYy54bWysU9tu2zAMfR+wfxD0vjhJk16MOEWXLsOA&#10;7gK0+wBZlmNhsqhRSuzs60fJbpqtb8P0IJAidUQeHq1u+9awg0KvwRZ8NplypqyESttdwb8/bd9d&#10;c+aDsJUwYFXBj8rz2/XbN6vO5WoODZhKISMQ6/POFbwJweVZ5mWjWuEn4JSlYA3YikAu7rIKRUfo&#10;rcnm0+ll1gFWDkEq7+n0fgjydcKvayXD17r2KjBTcKotpB3TXsY9W69EvkPhGi3HMsQ/VNEKbenR&#10;E9S9CILtUb+CarVE8FCHiYQ2g7rWUqUeqJvZ9K9uHhvhVOqFyPHuRJP/f7Dyy+HRfUMW+vfQ0wBT&#10;E949gPzhmYVNI+xO3SFC1yhR0cOzSFnWOZ+PVyPVPvcRpOw+Q0VDFvsACaivsY2sUJ+M0GkAxxPp&#10;qg9M0uHV7HJ+PaWQpNjy4mJBdnxC5M+3HfrwUUHLolFwpKEmdHF48GFIfU6Jj3kwutpqY5KDu3Jj&#10;kB0ECWCb1oj+R5qxrCv4zXK+TMgW4v2kjVYHEqjRbcGpSlqDZCIbH2yVUoLQZrCpaGNHeiIjAzeh&#10;L3tKjDSVUB2JKIRBiPRxyGgAf3HWkQgL7n/uBSrOzCdLZN/MFouo2uQslldzcvA8Up5HhJUEVfDA&#10;2WBuQlJ65MHCHQ2l1omvl0rGWklcifHxI0T1nvsp6+W7rn8DAAD//wMAUEsDBBQABgAIAAAAIQCv&#10;bOW+3QAAAAkBAAAPAAAAZHJzL2Rvd25yZXYueG1sTI/BTsMwEETvlfoP1iJxQdRJKA0NcaqCBOLa&#10;0g/YxNskIl5Hsdukf4/Lhd52d0azb/LNZDpxpsG1lhXEiwgEcWV1y7WCw/fH4wsI55E1dpZJwYUc&#10;bIr5LMdM25F3dN77WoQQdhkqaLzvMyld1ZBBt7A9cdCOdjDowzrUUg84hnDTySSKVtJgy+FDgz29&#10;N1T97E9GwfFrfHhej+WnP6S75eoN27S0F6Xu76btKwhPk/83wxU/oEMRmEp7Yu1Ep2AZB6OCZJ2C&#10;uMrxUxIu5d+Ugixyedug+AUAAP//AwBQSwECLQAUAAYACAAAACEAtoM4kv4AAADhAQAAEwAAAAAA&#10;AAAAAAAAAAAAAAAAW0NvbnRlbnRfVHlwZXNdLnhtbFBLAQItABQABgAIAAAAIQA4/SH/1gAAAJQB&#10;AAALAAAAAAAAAAAAAAAAAC8BAABfcmVscy8ucmVsc1BLAQItABQABgAIAAAAIQBcjLhpCwIAAPYD&#10;AAAOAAAAAAAAAAAAAAAAAC4CAABkcnMvZTJvRG9jLnhtbFBLAQItABQABgAIAAAAIQCvbOW+3QAA&#10;AAkBAAAPAAAAAAAAAAAAAAAAAGUEAABkcnMvZG93bnJldi54bWxQSwUGAAAAAAQABADzAAAAbwUA&#10;AAAA&#10;" stroked="f">
                      <v:textbox>
                        <w:txbxContent>
                          <w:p w14:paraId="1D4BA1CD" w14:textId="6A82ADD0" w:rsidR="00C608E4" w:rsidRPr="00913189" w:rsidRDefault="002B351E" w:rsidP="00C608E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913189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MSHO Supplemental Benefit </w:t>
                            </w:r>
                            <w:r w:rsidR="00E2085A" w:rsidRPr="00913189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Reminders and </w:t>
                            </w:r>
                            <w:r w:rsidRPr="00913189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Updates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0020">
              <w:rPr>
                <w:rFonts w:cstheme="minorHAnsi"/>
              </w:rPr>
              <w:t>See</w:t>
            </w:r>
            <w:r w:rsidR="006B354A" w:rsidRPr="002C43B0">
              <w:rPr>
                <w:rFonts w:cstheme="minorHAnsi"/>
              </w:rPr>
              <w:t xml:space="preserve"> below for reminders </w:t>
            </w:r>
            <w:r w:rsidR="00E2085A">
              <w:rPr>
                <w:rFonts w:cstheme="minorHAnsi"/>
              </w:rPr>
              <w:t xml:space="preserve">and updates </w:t>
            </w:r>
            <w:r w:rsidR="006B354A" w:rsidRPr="002C43B0">
              <w:rPr>
                <w:rFonts w:cstheme="minorHAnsi"/>
              </w:rPr>
              <w:t>related to SecureBlue MSHO Supplemental Benefits</w:t>
            </w:r>
            <w:r w:rsidR="005C0020">
              <w:rPr>
                <w:rFonts w:cstheme="minorHAnsi"/>
              </w:rPr>
              <w:t xml:space="preserve">. </w:t>
            </w:r>
            <w:r w:rsidR="006B354A" w:rsidRPr="002C43B0">
              <w:rPr>
                <w:rFonts w:cstheme="minorHAnsi"/>
              </w:rPr>
              <w:t xml:space="preserve">All supplemental benefit information can be found on the </w:t>
            </w:r>
            <w:hyperlink r:id="rId7" w:history="1">
              <w:r w:rsidR="0065377E" w:rsidRPr="002C43B0">
                <w:rPr>
                  <w:rStyle w:val="Hyperlink"/>
                  <w:rFonts w:cstheme="minorHAnsi"/>
                </w:rPr>
                <w:t>MSHO Supplemental Benefits webpage</w:t>
              </w:r>
            </w:hyperlink>
            <w:r w:rsidR="0065377E" w:rsidRPr="002C43B0">
              <w:rPr>
                <w:rFonts w:cstheme="minorHAnsi"/>
              </w:rPr>
              <w:t>.</w:t>
            </w:r>
            <w:r w:rsidR="0065377E">
              <w:rPr>
                <w:rFonts w:cstheme="minorHAnsi"/>
              </w:rPr>
              <w:t xml:space="preserve"> </w:t>
            </w:r>
          </w:p>
          <w:p w14:paraId="7A137993" w14:textId="77777777" w:rsidR="006B354A" w:rsidRDefault="006B354A" w:rsidP="00934EAD">
            <w:pPr>
              <w:spacing w:line="259" w:lineRule="auto"/>
              <w:rPr>
                <w:rFonts w:cstheme="minorHAnsi"/>
              </w:rPr>
            </w:pPr>
          </w:p>
          <w:p w14:paraId="0E6ABDA4" w14:textId="3543284A" w:rsidR="005972B5" w:rsidRPr="005972B5" w:rsidRDefault="005972B5" w:rsidP="005972B5">
            <w:pPr>
              <w:spacing w:line="259" w:lineRule="auto"/>
              <w:jc w:val="center"/>
              <w:rPr>
                <w:rFonts w:cstheme="minorHAnsi"/>
                <w:sz w:val="40"/>
                <w:szCs w:val="40"/>
              </w:rPr>
            </w:pPr>
            <w:r w:rsidRPr="005972B5">
              <w:rPr>
                <w:rFonts w:cstheme="minorHAnsi"/>
                <w:sz w:val="40"/>
                <w:szCs w:val="40"/>
              </w:rPr>
              <w:t>REMINDERS</w:t>
            </w:r>
          </w:p>
          <w:p w14:paraId="101B95F8" w14:textId="2B8A9BC4" w:rsidR="005C0020" w:rsidRPr="005972B5" w:rsidRDefault="005C0020" w:rsidP="005972B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5972B5">
              <w:rPr>
                <w:rFonts w:cstheme="minorHAnsi"/>
              </w:rPr>
              <w:t xml:space="preserve"> For new</w:t>
            </w:r>
            <w:r w:rsidR="00E2085A">
              <w:rPr>
                <w:rFonts w:cstheme="minorHAnsi"/>
              </w:rPr>
              <w:t>ly enrolled MSHO members,</w:t>
            </w:r>
            <w:r w:rsidRPr="005972B5">
              <w:rPr>
                <w:rFonts w:cstheme="minorHAnsi"/>
              </w:rPr>
              <w:t xml:space="preserve"> explain MSHO supplemental benefits using resource </w:t>
            </w:r>
            <w:hyperlink r:id="rId8" w:history="1">
              <w:r w:rsidRPr="005972B5">
                <w:rPr>
                  <w:rStyle w:val="Hyperlink"/>
                  <w:rFonts w:cstheme="minorHAnsi"/>
                </w:rPr>
                <w:t>Explanation of Supplemental Benefits</w:t>
              </w:r>
            </w:hyperlink>
            <w:r w:rsidR="00913189">
              <w:rPr>
                <w:rStyle w:val="Hyperlink"/>
                <w:rFonts w:cstheme="minorHAnsi"/>
              </w:rPr>
              <w:t>.</w:t>
            </w:r>
          </w:p>
          <w:p w14:paraId="582BE2E7" w14:textId="481FB774" w:rsidR="006B354A" w:rsidRPr="005972B5" w:rsidRDefault="006B354A" w:rsidP="005972B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5972B5">
              <w:rPr>
                <w:rFonts w:cstheme="minorHAnsi"/>
              </w:rPr>
              <w:t xml:space="preserve">If you are referring a member to a supplemental benefit, please ensure they have active </w:t>
            </w:r>
            <w:r w:rsidR="00E2085A">
              <w:rPr>
                <w:rFonts w:cstheme="minorHAnsi"/>
              </w:rPr>
              <w:t xml:space="preserve">SecureBlue </w:t>
            </w:r>
            <w:r w:rsidRPr="005972B5">
              <w:rPr>
                <w:rFonts w:cstheme="minorHAnsi"/>
              </w:rPr>
              <w:t xml:space="preserve">MSHO coverage and meet the eligibility criteria for each benefit. Refer to the Member Eligibility column on the </w:t>
            </w:r>
            <w:hyperlink r:id="rId9" w:history="1">
              <w:r w:rsidRPr="005972B5">
                <w:rPr>
                  <w:rStyle w:val="Hyperlink"/>
                  <w:rFonts w:cstheme="minorHAnsi"/>
                </w:rPr>
                <w:t>2024 SecureBlue MSHO Supplemental Benefits (at a glance)</w:t>
              </w:r>
            </w:hyperlink>
            <w:r w:rsidRPr="005972B5">
              <w:rPr>
                <w:rFonts w:cstheme="minorHAnsi"/>
              </w:rPr>
              <w:t xml:space="preserve"> document</w:t>
            </w:r>
            <w:r w:rsidR="0065377E" w:rsidRPr="005972B5">
              <w:rPr>
                <w:rFonts w:cstheme="minorHAnsi"/>
              </w:rPr>
              <w:t>.</w:t>
            </w:r>
          </w:p>
          <w:p w14:paraId="02713D3C" w14:textId="55F096BE" w:rsidR="00584E89" w:rsidRPr="005972B5" w:rsidRDefault="006B354A" w:rsidP="005972B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noProof/>
              </w:rPr>
            </w:pPr>
            <w:r w:rsidRPr="005972B5">
              <w:rPr>
                <w:rFonts w:cstheme="minorHAnsi"/>
              </w:rPr>
              <w:t xml:space="preserve">If a member is receiving on-going services from a SecureBlue MSHO supplemental benefit provider (Alliance Music Therapy, </w:t>
            </w:r>
            <w:proofErr w:type="spellStart"/>
            <w:r w:rsidRPr="005972B5">
              <w:rPr>
                <w:rFonts w:cstheme="minorHAnsi"/>
              </w:rPr>
              <w:t>Ceresti</w:t>
            </w:r>
            <w:proofErr w:type="spellEnd"/>
            <w:r w:rsidRPr="005972B5">
              <w:rPr>
                <w:rFonts w:cstheme="minorHAnsi"/>
              </w:rPr>
              <w:t xml:space="preserve">, Dose, Juniper, LSS, </w:t>
            </w:r>
            <w:proofErr w:type="spellStart"/>
            <w:r w:rsidRPr="005972B5">
              <w:rPr>
                <w:rFonts w:cstheme="minorHAnsi"/>
              </w:rPr>
              <w:t>NourishedRx</w:t>
            </w:r>
            <w:proofErr w:type="spellEnd"/>
            <w:r w:rsidRPr="005972B5">
              <w:rPr>
                <w:rFonts w:cstheme="minorHAnsi"/>
              </w:rPr>
              <w:t xml:space="preserve">, </w:t>
            </w:r>
            <w:proofErr w:type="spellStart"/>
            <w:r w:rsidRPr="005972B5">
              <w:rPr>
                <w:rFonts w:cstheme="minorHAnsi"/>
              </w:rPr>
              <w:t>QMedic</w:t>
            </w:r>
            <w:proofErr w:type="spellEnd"/>
            <w:r w:rsidRPr="005972B5">
              <w:rPr>
                <w:rFonts w:cstheme="minorHAnsi"/>
              </w:rPr>
              <w:t xml:space="preserve">) and the member loses MSHO eligibility (i.e. due to redetermination, chooses another health plan, etc), </w:t>
            </w:r>
            <w:r w:rsidRPr="005972B5">
              <w:rPr>
                <w:rFonts w:cstheme="minorHAnsi"/>
                <w:b/>
                <w:bCs/>
              </w:rPr>
              <w:t xml:space="preserve">inform the provider that the member is no longer </w:t>
            </w:r>
            <w:r w:rsidR="00913189" w:rsidRPr="005972B5">
              <w:rPr>
                <w:rFonts w:cstheme="minorHAnsi"/>
                <w:b/>
                <w:bCs/>
              </w:rPr>
              <w:t>eligible,</w:t>
            </w:r>
            <w:r w:rsidRPr="005972B5">
              <w:rPr>
                <w:rFonts w:cstheme="minorHAnsi"/>
                <w:b/>
                <w:bCs/>
              </w:rPr>
              <w:t xml:space="preserve"> and services should be stopped</w:t>
            </w:r>
            <w:r w:rsidRPr="005972B5">
              <w:rPr>
                <w:rFonts w:cstheme="minorHAnsi"/>
              </w:rPr>
              <w:t>. Supplemental benefit providers may not be aware that a member has termed from SecureBlue MSHO</w:t>
            </w:r>
            <w:r w:rsidR="00913189">
              <w:rPr>
                <w:rFonts w:cstheme="minorHAnsi"/>
              </w:rPr>
              <w:t xml:space="preserve"> and therefore it is important that Care Coordinators provide them with this info.</w:t>
            </w:r>
          </w:p>
          <w:p w14:paraId="4CBAE1CD" w14:textId="77777777" w:rsidR="005972B5" w:rsidRDefault="005972B5" w:rsidP="00934EAD">
            <w:pPr>
              <w:spacing w:line="259" w:lineRule="auto"/>
              <w:rPr>
                <w:rFonts w:cstheme="minorHAnsi"/>
                <w:noProof/>
              </w:rPr>
            </w:pPr>
          </w:p>
          <w:p w14:paraId="07BE1E3F" w14:textId="65C8B059" w:rsidR="005972B5" w:rsidRPr="005972B5" w:rsidRDefault="005972B5" w:rsidP="005972B5">
            <w:pPr>
              <w:spacing w:line="259" w:lineRule="auto"/>
              <w:jc w:val="center"/>
              <w:rPr>
                <w:rFonts w:cstheme="minorHAnsi"/>
                <w:noProof/>
                <w:sz w:val="40"/>
                <w:szCs w:val="40"/>
              </w:rPr>
            </w:pPr>
            <w:r w:rsidRPr="005972B5">
              <w:rPr>
                <w:rFonts w:cstheme="minorHAnsi"/>
                <w:noProof/>
                <w:sz w:val="40"/>
                <w:szCs w:val="40"/>
              </w:rPr>
              <w:t>UPDATES</w:t>
            </w:r>
          </w:p>
          <w:p w14:paraId="5AAFF788" w14:textId="09405CCA" w:rsidR="005972B5" w:rsidRPr="008D23E2" w:rsidRDefault="005972B5" w:rsidP="00455C42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noProof/>
              </w:rPr>
            </w:pPr>
            <w:r w:rsidRPr="008D23E2">
              <w:rPr>
                <w:noProof/>
              </w:rPr>
              <w:t>Household Supports</w:t>
            </w:r>
            <w:r w:rsidR="00E2085A" w:rsidRPr="008D23E2">
              <w:rPr>
                <w:noProof/>
              </w:rPr>
              <w:t xml:space="preserve"> Flex Card</w:t>
            </w:r>
            <w:r w:rsidRPr="008D23E2">
              <w:rPr>
                <w:noProof/>
              </w:rPr>
              <w:t xml:space="preserve"> – </w:t>
            </w:r>
            <w:r w:rsidR="00A72796" w:rsidRPr="00A72796">
              <w:rPr>
                <w:b/>
                <w:bCs/>
                <w:noProof/>
              </w:rPr>
              <w:t xml:space="preserve">Home </w:t>
            </w:r>
            <w:r w:rsidR="00A72796">
              <w:rPr>
                <w:b/>
                <w:bCs/>
                <w:noProof/>
              </w:rPr>
              <w:t>i</w:t>
            </w:r>
            <w:r w:rsidRPr="008D23E2">
              <w:rPr>
                <w:b/>
                <w:bCs/>
                <w:noProof/>
              </w:rPr>
              <w:t>nternet</w:t>
            </w:r>
            <w:r w:rsidR="00A72796">
              <w:rPr>
                <w:b/>
                <w:bCs/>
                <w:noProof/>
              </w:rPr>
              <w:t xml:space="preserve"> </w:t>
            </w:r>
            <w:r w:rsidRPr="008D23E2">
              <w:rPr>
                <w:noProof/>
              </w:rPr>
              <w:t xml:space="preserve">has been added as an approved utility under the Household Supports benefit. </w:t>
            </w:r>
          </w:p>
          <w:p w14:paraId="2DB6BEB8" w14:textId="7622D7AD" w:rsidR="005972B5" w:rsidRPr="008D23E2" w:rsidRDefault="005972B5" w:rsidP="00455C42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noProof/>
              </w:rPr>
            </w:pPr>
            <w:r w:rsidRPr="008D23E2">
              <w:rPr>
                <w:noProof/>
              </w:rPr>
              <w:t xml:space="preserve">NourishedRx – there is a new </w:t>
            </w:r>
            <w:hyperlink r:id="rId10" w:history="1">
              <w:r w:rsidRPr="008D23E2">
                <w:rPr>
                  <w:rStyle w:val="Hyperlink"/>
                  <w:rFonts w:cstheme="minorHAnsi"/>
                  <w:noProof/>
                </w:rPr>
                <w:t>NourishedRx brochure</w:t>
              </w:r>
            </w:hyperlink>
            <w:r w:rsidRPr="008D23E2">
              <w:rPr>
                <w:noProof/>
              </w:rPr>
              <w:t xml:space="preserve"> availiable for </w:t>
            </w:r>
            <w:r w:rsidR="00E2085A" w:rsidRPr="008D23E2">
              <w:rPr>
                <w:noProof/>
              </w:rPr>
              <w:t>c</w:t>
            </w:r>
            <w:r w:rsidRPr="008D23E2">
              <w:rPr>
                <w:noProof/>
              </w:rPr>
              <w:t xml:space="preserve">are </w:t>
            </w:r>
            <w:r w:rsidR="00E2085A" w:rsidRPr="008D23E2">
              <w:rPr>
                <w:noProof/>
              </w:rPr>
              <w:t>c</w:t>
            </w:r>
            <w:r w:rsidRPr="008D23E2">
              <w:rPr>
                <w:noProof/>
              </w:rPr>
              <w:t xml:space="preserve">oordinators. This is </w:t>
            </w:r>
            <w:r w:rsidR="00E2085A" w:rsidRPr="008D23E2">
              <w:rPr>
                <w:noProof/>
              </w:rPr>
              <w:t xml:space="preserve">for care coordinators only </w:t>
            </w:r>
            <w:r w:rsidR="00913189">
              <w:rPr>
                <w:noProof/>
              </w:rPr>
              <w:t xml:space="preserve">and is </w:t>
            </w:r>
            <w:r w:rsidRPr="008D23E2">
              <w:rPr>
                <w:noProof/>
              </w:rPr>
              <w:t xml:space="preserve">not an approved member-facing </w:t>
            </w:r>
            <w:r w:rsidR="00913189">
              <w:rPr>
                <w:noProof/>
              </w:rPr>
              <w:t>document</w:t>
            </w:r>
            <w:r w:rsidRPr="008D23E2">
              <w:rPr>
                <w:noProof/>
              </w:rPr>
              <w:t>.</w:t>
            </w:r>
          </w:p>
          <w:p w14:paraId="77953F21" w14:textId="043077B5" w:rsidR="00452865" w:rsidRPr="008D23E2" w:rsidRDefault="00452865" w:rsidP="00455C42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noProof/>
              </w:rPr>
            </w:pPr>
            <w:r w:rsidRPr="008D23E2">
              <w:rPr>
                <w:noProof/>
              </w:rPr>
              <w:lastRenderedPageBreak/>
              <w:t>New referral forms:</w:t>
            </w:r>
          </w:p>
          <w:p w14:paraId="676FFCF2" w14:textId="4EF06666" w:rsidR="005972B5" w:rsidRPr="008D23E2" w:rsidRDefault="005972B5" w:rsidP="00E2085A">
            <w:pPr>
              <w:spacing w:before="120"/>
              <w:ind w:left="720"/>
              <w:rPr>
                <w:noProof/>
              </w:rPr>
            </w:pPr>
            <w:r w:rsidRPr="00301AA9">
              <w:rPr>
                <w:noProof/>
                <w:color w:val="0070C0"/>
              </w:rPr>
              <w:t xml:space="preserve">Dose Health </w:t>
            </w:r>
            <w:r w:rsidRPr="008D23E2">
              <w:rPr>
                <w:noProof/>
              </w:rPr>
              <w:t xml:space="preserve">– Dose has a new online referral. Updates are being made to enhance the online referral, but care coordinators should start using this new process. Visit </w:t>
            </w:r>
            <w:hyperlink r:id="rId11" w:history="1">
              <w:r w:rsidRPr="008D23E2">
                <w:rPr>
                  <w:rStyle w:val="Hyperlink"/>
                  <w:rFonts w:cstheme="minorHAnsi"/>
                  <w:noProof/>
                </w:rPr>
                <w:t>https://app.dosehealth.com/referrals</w:t>
              </w:r>
            </w:hyperlink>
            <w:r w:rsidRPr="008D23E2">
              <w:rPr>
                <w:noProof/>
              </w:rPr>
              <w:t xml:space="preserve"> to make a referral.</w:t>
            </w:r>
          </w:p>
          <w:p w14:paraId="1DF3DE36" w14:textId="77777777" w:rsidR="00455C42" w:rsidRPr="008D23E2" w:rsidRDefault="00455C42" w:rsidP="00455C42">
            <w:pPr>
              <w:ind w:left="720"/>
              <w:rPr>
                <w:noProof/>
              </w:rPr>
            </w:pPr>
          </w:p>
          <w:p w14:paraId="1061D73E" w14:textId="557F768E" w:rsidR="00452865" w:rsidRPr="008D23E2" w:rsidRDefault="00452865" w:rsidP="00455C42">
            <w:pPr>
              <w:ind w:left="720"/>
              <w:rPr>
                <w:noProof/>
              </w:rPr>
            </w:pPr>
            <w:r w:rsidRPr="00301AA9">
              <w:rPr>
                <w:noProof/>
                <w:color w:val="0070C0"/>
              </w:rPr>
              <w:t>Ceresti</w:t>
            </w:r>
            <w:r w:rsidRPr="008D23E2">
              <w:rPr>
                <w:noProof/>
              </w:rPr>
              <w:t xml:space="preserve"> has updated their referral form. Find the new referral form </w:t>
            </w:r>
            <w:hyperlink r:id="rId12" w:history="1">
              <w:r w:rsidRPr="008D23E2">
                <w:rPr>
                  <w:rStyle w:val="Hyperlink"/>
                  <w:rFonts w:cstheme="minorHAnsi"/>
                  <w:noProof/>
                </w:rPr>
                <w:t>here</w:t>
              </w:r>
            </w:hyperlink>
            <w:r w:rsidRPr="008D23E2">
              <w:rPr>
                <w:noProof/>
              </w:rPr>
              <w:t xml:space="preserve">. </w:t>
            </w:r>
          </w:p>
          <w:p w14:paraId="4932773A" w14:textId="77777777" w:rsidR="00E2085A" w:rsidRPr="008D23E2" w:rsidRDefault="005972B5" w:rsidP="00455C42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noProof/>
              </w:rPr>
            </w:pPr>
            <w:r w:rsidRPr="008D23E2">
              <w:rPr>
                <w:noProof/>
              </w:rPr>
              <w:t xml:space="preserve">Annual Notice of Changes for 2025 coming soon! </w:t>
            </w:r>
          </w:p>
          <w:p w14:paraId="1960C0A1" w14:textId="630CFBFA" w:rsidR="005972B5" w:rsidRPr="008D23E2" w:rsidRDefault="005972B5" w:rsidP="00E2085A">
            <w:pPr>
              <w:pStyle w:val="ListParagraph"/>
              <w:spacing w:before="120" w:line="240" w:lineRule="auto"/>
              <w:ind w:left="720"/>
              <w:rPr>
                <w:noProof/>
              </w:rPr>
            </w:pPr>
            <w:r w:rsidRPr="008D23E2">
              <w:rPr>
                <w:noProof/>
              </w:rPr>
              <w:t xml:space="preserve">All SecureBlue MSHO members willl be receiving their required Annual Notice of Changes document in September. In advance of this mailing, </w:t>
            </w:r>
            <w:r w:rsidR="00913189">
              <w:rPr>
                <w:noProof/>
              </w:rPr>
              <w:t>in the coming weeks, Blue Plus</w:t>
            </w:r>
            <w:r w:rsidRPr="008D23E2">
              <w:rPr>
                <w:noProof/>
              </w:rPr>
              <w:t xml:space="preserve"> will be sending out a communication to </w:t>
            </w:r>
            <w:r w:rsidR="00E2085A" w:rsidRPr="008D23E2">
              <w:rPr>
                <w:noProof/>
              </w:rPr>
              <w:t>c</w:t>
            </w:r>
            <w:r w:rsidRPr="008D23E2">
              <w:rPr>
                <w:noProof/>
              </w:rPr>
              <w:t xml:space="preserve">are </w:t>
            </w:r>
            <w:r w:rsidR="00E2085A" w:rsidRPr="008D23E2">
              <w:rPr>
                <w:noProof/>
              </w:rPr>
              <w:t>c</w:t>
            </w:r>
            <w:r w:rsidRPr="008D23E2">
              <w:rPr>
                <w:noProof/>
              </w:rPr>
              <w:t>oordinators to explain changes in 2025 benefits</w:t>
            </w:r>
            <w:r w:rsidR="00913189">
              <w:rPr>
                <w:noProof/>
              </w:rPr>
              <w:t>.</w:t>
            </w:r>
          </w:p>
          <w:p w14:paraId="6240755C" w14:textId="77777777" w:rsidR="005972B5" w:rsidRPr="008D23E2" w:rsidRDefault="005972B5" w:rsidP="00455C42">
            <w:pPr>
              <w:rPr>
                <w:noProof/>
              </w:rPr>
            </w:pPr>
          </w:p>
          <w:p w14:paraId="1C1F8714" w14:textId="0FBBFE4A" w:rsidR="005972B5" w:rsidRPr="008D23E2" w:rsidRDefault="00E2085A" w:rsidP="00455C42">
            <w:pPr>
              <w:rPr>
                <w:noProof/>
              </w:rPr>
            </w:pPr>
            <w:r w:rsidRPr="008D23E2">
              <w:rPr>
                <w:noProof/>
              </w:rPr>
              <w:t>Blue Plus c</w:t>
            </w:r>
            <w:r w:rsidR="00452865" w:rsidRPr="008D23E2">
              <w:rPr>
                <w:noProof/>
              </w:rPr>
              <w:t xml:space="preserve">are </w:t>
            </w:r>
            <w:r w:rsidRPr="008D23E2">
              <w:rPr>
                <w:noProof/>
              </w:rPr>
              <w:t>c</w:t>
            </w:r>
            <w:r w:rsidR="00452865" w:rsidRPr="008D23E2">
              <w:rPr>
                <w:noProof/>
              </w:rPr>
              <w:t xml:space="preserve">oordinator resources have been updated to reflect these changes. Visit the </w:t>
            </w:r>
            <w:hyperlink r:id="rId13" w:history="1">
              <w:r w:rsidR="00452865" w:rsidRPr="008D23E2">
                <w:rPr>
                  <w:rStyle w:val="Hyperlink"/>
                  <w:rFonts w:cstheme="minorHAnsi"/>
                  <w:noProof/>
                </w:rPr>
                <w:t>SecureBlue MSHO Supplemental Benefits</w:t>
              </w:r>
            </w:hyperlink>
            <w:r w:rsidR="00452865" w:rsidRPr="008D23E2">
              <w:rPr>
                <w:noProof/>
              </w:rPr>
              <w:t xml:space="preserve"> website for more information. </w:t>
            </w:r>
          </w:p>
          <w:p w14:paraId="23B895A1" w14:textId="77777777" w:rsidR="00E2085A" w:rsidRPr="008D23E2" w:rsidRDefault="00E2085A" w:rsidP="00455C42">
            <w:pPr>
              <w:rPr>
                <w:noProof/>
              </w:rPr>
            </w:pPr>
          </w:p>
          <w:p w14:paraId="6614B860" w14:textId="13FC3F34" w:rsidR="00152E06" w:rsidRPr="008D23E2" w:rsidRDefault="00152E06" w:rsidP="00934EAD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8D23E2">
              <w:rPr>
                <w:rFonts w:cstheme="minorHAnsi"/>
                <w:color w:val="000000" w:themeColor="text1"/>
              </w:rPr>
              <w:t>Thank you for providing education and information to SecureBlue MSHO members about their Supplemental Benefits</w:t>
            </w:r>
            <w:r w:rsidR="00477C20" w:rsidRPr="008D23E2">
              <w:rPr>
                <w:rFonts w:cstheme="minorHAnsi"/>
                <w:color w:val="000000" w:themeColor="text1"/>
              </w:rPr>
              <w:t xml:space="preserve"> throughout the year</w:t>
            </w:r>
            <w:r w:rsidRPr="008D23E2">
              <w:rPr>
                <w:rFonts w:cstheme="minorHAnsi"/>
                <w:color w:val="000000" w:themeColor="text1"/>
              </w:rPr>
              <w:t>. We appreciate your work in helping members understand and access their benefits.</w:t>
            </w:r>
            <w:r w:rsidR="00913189">
              <w:rPr>
                <w:rFonts w:cstheme="minorHAnsi"/>
                <w:color w:val="000000" w:themeColor="text1"/>
              </w:rPr>
              <w:t xml:space="preserve">  </w:t>
            </w:r>
            <w:r w:rsidRPr="008D23E2">
              <w:rPr>
                <w:rFonts w:cstheme="minorHAnsi"/>
                <w:color w:val="000000" w:themeColor="text1"/>
              </w:rPr>
              <w:t>If you have any questions, please contact your Partner Relations Consultant.</w:t>
            </w:r>
          </w:p>
          <w:p w14:paraId="43F22413" w14:textId="77777777" w:rsidR="00152E06" w:rsidRPr="008D23E2" w:rsidRDefault="00152E06" w:rsidP="00934EAD">
            <w:pPr>
              <w:autoSpaceDE w:val="0"/>
              <w:autoSpaceDN w:val="0"/>
              <w:spacing w:line="259" w:lineRule="auto"/>
              <w:ind w:left="15"/>
              <w:rPr>
                <w:rFonts w:cstheme="minorHAnsi"/>
                <w:color w:val="000000" w:themeColor="text1"/>
              </w:rPr>
            </w:pPr>
          </w:p>
          <w:p w14:paraId="5B40072C" w14:textId="112EAE9A" w:rsidR="00CA04A0" w:rsidRPr="00E2085A" w:rsidRDefault="00152E06" w:rsidP="00913189">
            <w:pPr>
              <w:autoSpaceDE w:val="0"/>
              <w:autoSpaceDN w:val="0"/>
              <w:spacing w:line="259" w:lineRule="auto"/>
              <w:rPr>
                <w:rFonts w:cstheme="minorHAnsi"/>
                <w:color w:val="000000" w:themeColor="text1"/>
              </w:rPr>
            </w:pPr>
            <w:r w:rsidRPr="008D23E2">
              <w:rPr>
                <w:rFonts w:cstheme="minorHAnsi"/>
                <w:color w:val="000000" w:themeColor="text1"/>
              </w:rPr>
              <w:t xml:space="preserve">Please continue to share your comments on MSHO vendor experiences and supplemental benefits so we can improve the benefits for our members and for you! Send feedback to: </w:t>
            </w:r>
            <w:hyperlink r:id="rId14" w:history="1">
              <w:r w:rsidRPr="008D23E2">
                <w:rPr>
                  <w:rStyle w:val="Hyperlink"/>
                  <w:rFonts w:cstheme="minorHAnsi"/>
                  <w:color w:val="000000" w:themeColor="text1"/>
                </w:rPr>
                <w:t>jenna.rangel@bluecrossmn.com</w:t>
              </w:r>
            </w:hyperlink>
          </w:p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15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7424" w14:textId="77777777" w:rsidR="00E24F08" w:rsidRDefault="00E24F08" w:rsidP="00BB1FFD">
      <w:pPr>
        <w:spacing w:after="0" w:line="240" w:lineRule="auto"/>
      </w:pPr>
      <w:r>
        <w:separator/>
      </w:r>
    </w:p>
  </w:endnote>
  <w:endnote w:type="continuationSeparator" w:id="0">
    <w:p w14:paraId="7A77EA7C" w14:textId="77777777" w:rsidR="00E24F08" w:rsidRDefault="00E24F08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2499" w14:textId="77777777" w:rsidR="00E24F08" w:rsidRDefault="00E24F08" w:rsidP="00BB1FFD">
      <w:pPr>
        <w:spacing w:after="0" w:line="240" w:lineRule="auto"/>
      </w:pPr>
      <w:r>
        <w:separator/>
      </w:r>
    </w:p>
  </w:footnote>
  <w:footnote w:type="continuationSeparator" w:id="0">
    <w:p w14:paraId="37971BDD" w14:textId="77777777" w:rsidR="00E24F08" w:rsidRDefault="00E24F08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8E70F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2E7325B" w:rsidR="00AF1D04" w:rsidRPr="00AF1D04" w:rsidRDefault="005972B5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8</w:t>
                          </w:r>
                          <w:r w:rsidR="00CF4F4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23</w:t>
                          </w:r>
                          <w:r w:rsidR="00CF4F4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 w:rsidR="00782314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2E7325B" w:rsidR="00AF1D04" w:rsidRPr="00AF1D04" w:rsidRDefault="005972B5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8</w:t>
                    </w:r>
                    <w:r w:rsidR="00CF4F4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23</w:t>
                    </w:r>
                    <w:r w:rsidR="00CF4F4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 w:rsidR="00782314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CE3"/>
    <w:multiLevelType w:val="hybridMultilevel"/>
    <w:tmpl w:val="EDCEBCE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757FD"/>
    <w:multiLevelType w:val="hybridMultilevel"/>
    <w:tmpl w:val="8B768E9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C54F2"/>
    <w:multiLevelType w:val="hybridMultilevel"/>
    <w:tmpl w:val="7DC2157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A334FA5"/>
    <w:multiLevelType w:val="hybridMultilevel"/>
    <w:tmpl w:val="E8CC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71ED"/>
    <w:multiLevelType w:val="hybridMultilevel"/>
    <w:tmpl w:val="7424E744"/>
    <w:lvl w:ilvl="0" w:tplc="295AD290">
      <w:start w:val="1"/>
      <w:numFmt w:val="decimal"/>
      <w:lvlText w:val="%1."/>
      <w:lvlJc w:val="left"/>
      <w:pPr>
        <w:ind w:left="375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CC1"/>
    <w:multiLevelType w:val="hybridMultilevel"/>
    <w:tmpl w:val="A502B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862E9"/>
    <w:multiLevelType w:val="hybridMultilevel"/>
    <w:tmpl w:val="7D58F55E"/>
    <w:lvl w:ilvl="0" w:tplc="C8A2A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6B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9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48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8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0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28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8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56320"/>
    <w:multiLevelType w:val="hybridMultilevel"/>
    <w:tmpl w:val="2BDE5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EA8"/>
    <w:multiLevelType w:val="hybridMultilevel"/>
    <w:tmpl w:val="9FC284C8"/>
    <w:lvl w:ilvl="0" w:tplc="6B9E2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6FC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F4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A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0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A3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A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2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646823FC"/>
    <w:multiLevelType w:val="hybridMultilevel"/>
    <w:tmpl w:val="5A6426AC"/>
    <w:lvl w:ilvl="0" w:tplc="FB4AF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5F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4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4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8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A7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2B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562BE8"/>
    <w:multiLevelType w:val="hybridMultilevel"/>
    <w:tmpl w:val="C52E332E"/>
    <w:lvl w:ilvl="0" w:tplc="9C2E27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E5FEF"/>
    <w:multiLevelType w:val="hybridMultilevel"/>
    <w:tmpl w:val="AEC8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7"/>
  </w:num>
  <w:num w:numId="2" w16cid:durableId="1797331095">
    <w:abstractNumId w:val="11"/>
  </w:num>
  <w:num w:numId="3" w16cid:durableId="214856249">
    <w:abstractNumId w:val="15"/>
  </w:num>
  <w:num w:numId="4" w16cid:durableId="1499616861">
    <w:abstractNumId w:val="21"/>
  </w:num>
  <w:num w:numId="5" w16cid:durableId="2073769093">
    <w:abstractNumId w:val="2"/>
  </w:num>
  <w:num w:numId="6" w16cid:durableId="18362904">
    <w:abstractNumId w:val="26"/>
  </w:num>
  <w:num w:numId="7" w16cid:durableId="495341996">
    <w:abstractNumId w:val="27"/>
  </w:num>
  <w:num w:numId="8" w16cid:durableId="195433800">
    <w:abstractNumId w:val="6"/>
  </w:num>
  <w:num w:numId="9" w16cid:durableId="2131320421">
    <w:abstractNumId w:val="16"/>
  </w:num>
  <w:num w:numId="10" w16cid:durableId="292836173">
    <w:abstractNumId w:val="13"/>
  </w:num>
  <w:num w:numId="11" w16cid:durableId="590047722">
    <w:abstractNumId w:val="8"/>
  </w:num>
  <w:num w:numId="12" w16cid:durableId="1674527007">
    <w:abstractNumId w:val="10"/>
  </w:num>
  <w:num w:numId="13" w16cid:durableId="1073697651">
    <w:abstractNumId w:val="9"/>
  </w:num>
  <w:num w:numId="14" w16cid:durableId="1167403472">
    <w:abstractNumId w:val="19"/>
  </w:num>
  <w:num w:numId="15" w16cid:durableId="1282767395">
    <w:abstractNumId w:val="24"/>
  </w:num>
  <w:num w:numId="16" w16cid:durableId="974333673">
    <w:abstractNumId w:val="14"/>
  </w:num>
  <w:num w:numId="17" w16cid:durableId="1874731883">
    <w:abstractNumId w:val="25"/>
  </w:num>
  <w:num w:numId="18" w16cid:durableId="1199388782">
    <w:abstractNumId w:val="12"/>
  </w:num>
  <w:num w:numId="19" w16cid:durableId="390345083">
    <w:abstractNumId w:val="22"/>
  </w:num>
  <w:num w:numId="20" w16cid:durableId="858197102">
    <w:abstractNumId w:val="20"/>
  </w:num>
  <w:num w:numId="21" w16cid:durableId="1433551176">
    <w:abstractNumId w:val="1"/>
  </w:num>
  <w:num w:numId="22" w16cid:durableId="1491797411">
    <w:abstractNumId w:val="3"/>
  </w:num>
  <w:num w:numId="23" w16cid:durableId="1188761081">
    <w:abstractNumId w:val="23"/>
  </w:num>
  <w:num w:numId="24" w16cid:durableId="488518912">
    <w:abstractNumId w:val="0"/>
  </w:num>
  <w:num w:numId="25" w16cid:durableId="886601325">
    <w:abstractNumId w:val="5"/>
  </w:num>
  <w:num w:numId="26" w16cid:durableId="1927565922">
    <w:abstractNumId w:val="7"/>
  </w:num>
  <w:num w:numId="27" w16cid:durableId="1515223685">
    <w:abstractNumId w:val="18"/>
  </w:num>
  <w:num w:numId="28" w16cid:durableId="1784110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06C55"/>
    <w:rsid w:val="000274AF"/>
    <w:rsid w:val="00086710"/>
    <w:rsid w:val="00150443"/>
    <w:rsid w:val="00152E06"/>
    <w:rsid w:val="00192D8A"/>
    <w:rsid w:val="00222CB4"/>
    <w:rsid w:val="00287C94"/>
    <w:rsid w:val="002B351E"/>
    <w:rsid w:val="002C43B0"/>
    <w:rsid w:val="002E7252"/>
    <w:rsid w:val="00301AA9"/>
    <w:rsid w:val="003249CC"/>
    <w:rsid w:val="003309CA"/>
    <w:rsid w:val="00336204"/>
    <w:rsid w:val="003C1F8E"/>
    <w:rsid w:val="00426EDF"/>
    <w:rsid w:val="00452865"/>
    <w:rsid w:val="00455C42"/>
    <w:rsid w:val="00477C20"/>
    <w:rsid w:val="00495453"/>
    <w:rsid w:val="004D30F0"/>
    <w:rsid w:val="00516C94"/>
    <w:rsid w:val="00533812"/>
    <w:rsid w:val="005413CA"/>
    <w:rsid w:val="00541431"/>
    <w:rsid w:val="00561B5C"/>
    <w:rsid w:val="00581D3C"/>
    <w:rsid w:val="00584E89"/>
    <w:rsid w:val="00585320"/>
    <w:rsid w:val="005972B5"/>
    <w:rsid w:val="005C0020"/>
    <w:rsid w:val="005C0CE7"/>
    <w:rsid w:val="005C7FFC"/>
    <w:rsid w:val="005E07CD"/>
    <w:rsid w:val="005E20E6"/>
    <w:rsid w:val="006027CD"/>
    <w:rsid w:val="00605891"/>
    <w:rsid w:val="0065377E"/>
    <w:rsid w:val="00661EAF"/>
    <w:rsid w:val="00667838"/>
    <w:rsid w:val="00690495"/>
    <w:rsid w:val="00696BE2"/>
    <w:rsid w:val="006B354A"/>
    <w:rsid w:val="006B5D91"/>
    <w:rsid w:val="006D12E8"/>
    <w:rsid w:val="006D4CD1"/>
    <w:rsid w:val="006E524F"/>
    <w:rsid w:val="00711A6D"/>
    <w:rsid w:val="007808B0"/>
    <w:rsid w:val="00782314"/>
    <w:rsid w:val="007A5F11"/>
    <w:rsid w:val="007D2EC9"/>
    <w:rsid w:val="007D7407"/>
    <w:rsid w:val="0080562D"/>
    <w:rsid w:val="00833156"/>
    <w:rsid w:val="0084532D"/>
    <w:rsid w:val="00857173"/>
    <w:rsid w:val="008631AC"/>
    <w:rsid w:val="00887099"/>
    <w:rsid w:val="008877C2"/>
    <w:rsid w:val="008A03CF"/>
    <w:rsid w:val="008D23E2"/>
    <w:rsid w:val="00913189"/>
    <w:rsid w:val="0091662F"/>
    <w:rsid w:val="00934EAD"/>
    <w:rsid w:val="00954AF8"/>
    <w:rsid w:val="00986E5D"/>
    <w:rsid w:val="00A16F35"/>
    <w:rsid w:val="00A24223"/>
    <w:rsid w:val="00A5684C"/>
    <w:rsid w:val="00A72796"/>
    <w:rsid w:val="00AA1C20"/>
    <w:rsid w:val="00AB049B"/>
    <w:rsid w:val="00AD5757"/>
    <w:rsid w:val="00AF1D04"/>
    <w:rsid w:val="00B22797"/>
    <w:rsid w:val="00B3465E"/>
    <w:rsid w:val="00B9669C"/>
    <w:rsid w:val="00BB1FFD"/>
    <w:rsid w:val="00BD1164"/>
    <w:rsid w:val="00BD6DF2"/>
    <w:rsid w:val="00C1515C"/>
    <w:rsid w:val="00C608E4"/>
    <w:rsid w:val="00CA04A0"/>
    <w:rsid w:val="00CA1E33"/>
    <w:rsid w:val="00CA2A1A"/>
    <w:rsid w:val="00CF49F1"/>
    <w:rsid w:val="00CF4F44"/>
    <w:rsid w:val="00D10757"/>
    <w:rsid w:val="00D31D27"/>
    <w:rsid w:val="00D5294C"/>
    <w:rsid w:val="00DF37F3"/>
    <w:rsid w:val="00E2085A"/>
    <w:rsid w:val="00E23E29"/>
    <w:rsid w:val="00E24F08"/>
    <w:rsid w:val="00E32115"/>
    <w:rsid w:val="00E603A0"/>
    <w:rsid w:val="00EC4AA6"/>
    <w:rsid w:val="00F030BA"/>
    <w:rsid w:val="00F17620"/>
    <w:rsid w:val="00F36B5F"/>
    <w:rsid w:val="00F5483A"/>
    <w:rsid w:val="00F610EE"/>
    <w:rsid w:val="00FC5F7D"/>
    <w:rsid w:val="00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3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coordination.bluecrossmn.com/wp-content/uploads/2023/12/2024-Explanation-of-Supplemental-Benefits.pdf" TargetMode="External"/><Relationship Id="rId13" Type="http://schemas.openxmlformats.org/officeDocument/2006/relationships/hyperlink" Target="https://carecoordination.bluecrossmn.com/msho/secureblue-msho-supplemental-benefi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coordination.bluecrossmn.com/msho/secureblue-msho-supplemental-benefits/" TargetMode="External"/><Relationship Id="rId12" Type="http://schemas.openxmlformats.org/officeDocument/2006/relationships/hyperlink" Target="https://carecoordination.bluecrossmn.com/wp-content/uploads/2024/08/BCBS_Ceresti-IntakeForm_8-1-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dosehealth.com/referra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arecoordination.bluecrossmn.com/wp-content/uploads/2024/08/BCBS-MN-MSHO-NRx-Program-2-Pager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coordination.bluecrossmn.com/wp-content/uploads/2024/08/2024-SecureBlue-MSHO-Supplemental-Benefits-Grid_8-21-24.pdf" TargetMode="External"/><Relationship Id="rId14" Type="http://schemas.openxmlformats.org/officeDocument/2006/relationships/hyperlink" Target="mailto:jenna.rangel@bluecross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3015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6</cp:revision>
  <cp:lastPrinted>2023-04-13T19:37:00Z</cp:lastPrinted>
  <dcterms:created xsi:type="dcterms:W3CDTF">2024-08-21T21:53:00Z</dcterms:created>
  <dcterms:modified xsi:type="dcterms:W3CDTF">2024-08-23T14:19:00Z</dcterms:modified>
</cp:coreProperties>
</file>