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708"/>
      </w:tblGrid>
      <w:tr w:rsidR="00CA04A0" w14:paraId="42600EA8" w14:textId="77777777" w:rsidTr="001909C2">
        <w:trPr>
          <w:trHeight w:val="9330"/>
        </w:trPr>
        <w:tc>
          <w:tcPr>
            <w:tcW w:w="11646" w:type="dxa"/>
          </w:tcPr>
          <w:p w14:paraId="579A9A72" w14:textId="521F45C7" w:rsidR="009C0641" w:rsidRPr="009C0641" w:rsidRDefault="00C608E4" w:rsidP="00EA7FBB">
            <w:pPr>
              <w:spacing w:before="60" w:after="60"/>
              <w:rPr>
                <w:sz w:val="24"/>
                <w:szCs w:val="24"/>
              </w:rPr>
            </w:pPr>
            <w:r w:rsidRPr="00C608E4">
              <w:rPr>
                <w:noProof/>
                <w:sz w:val="48"/>
                <w:szCs w:val="48"/>
              </w:rPr>
              <mc:AlternateContent>
                <mc:Choice Requires="wps">
                  <w:drawing>
                    <wp:anchor distT="45720" distB="45720" distL="114300" distR="114300" simplePos="0" relativeHeight="251659264" behindDoc="0" locked="0" layoutInCell="1" allowOverlap="1" wp14:anchorId="38191BE5" wp14:editId="239B1341">
                      <wp:simplePos x="0" y="0"/>
                      <wp:positionH relativeFrom="column">
                        <wp:posOffset>12700</wp:posOffset>
                      </wp:positionH>
                      <wp:positionV relativeFrom="paragraph">
                        <wp:posOffset>57150</wp:posOffset>
                      </wp:positionV>
                      <wp:extent cx="7162800" cy="495300"/>
                      <wp:effectExtent l="0" t="0" r="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95300"/>
                              </a:xfrm>
                              <a:prstGeom prst="rect">
                                <a:avLst/>
                              </a:prstGeom>
                              <a:solidFill>
                                <a:srgbClr val="FFFFFF"/>
                              </a:solidFill>
                              <a:ln w="9525">
                                <a:noFill/>
                                <a:miter lim="800000"/>
                                <a:headEnd/>
                                <a:tailEnd/>
                              </a:ln>
                            </wps:spPr>
                            <wps:txbx>
                              <w:txbxContent>
                                <w:p w14:paraId="1D4BA1CD" w14:textId="74BFAA39" w:rsidR="00C608E4" w:rsidRPr="00C608E4" w:rsidRDefault="009C0641" w:rsidP="00C608E4">
                                  <w:pPr>
                                    <w:jc w:val="center"/>
                                    <w:rPr>
                                      <w:color w:val="002060"/>
                                      <w:sz w:val="48"/>
                                      <w:szCs w:val="48"/>
                                    </w:rPr>
                                  </w:pPr>
                                  <w:r>
                                    <w:rPr>
                                      <w:color w:val="002060"/>
                                      <w:sz w:val="48"/>
                                      <w:szCs w:val="48"/>
                                    </w:rPr>
                                    <w:t>TOC Log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1pt;margin-top:4.5pt;width:564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0pCwIAAPYDAAAOAAAAZHJzL2Uyb0RvYy54bWysU9tu2zAMfR+wfxD0vjjJkrYx4hRdugwD&#10;ugvQ7QNkWY6FyaJGKbGzry8lu2m2vQ3Tg0CK1BF5eLS+7VvDjgq9Blvw2WTKmbISKm33Bf/+bffm&#10;hjMfhK2EAasKflKe325ev1p3LldzaMBUChmBWJ93ruBNCC7PMi8b1Qo/AacsBWvAVgRycZ9VKDpC&#10;b002n06vsg6wcghSeU+n90OQbxJ+XSsZvtS1V4GZglNtIe2Y9jLu2WYt8j0K12g5liH+oYpWaEuP&#10;nqHuRRDsgPovqFZLBA91mEhoM6hrLVXqgbqZTf/o5rERTqVeiBzvzjT5/wcrPx8f3VdkoX8HPQ0w&#10;NeHdA8gfnlnYNsLu1R0idI0SFT08i5RlnfP5eDVS7XMfQcruE1Q0ZHEIkID6GtvICvXJCJ0GcDqT&#10;rvrAJB1ez67mN1MKSYotVsu3ZMcnRP5826EPHxS0LBoFRxpqQhfHBx+G1OeU+JgHo6udNiY5uC+3&#10;BtlRkAB2aY3ov6UZy7qCr5bzZUK2EO8nbbQ6kECNbgtOVdIaJBPZeG+rlBKENoNNRRs70hMZGbgJ&#10;fdlTYqSphOpERCEMQqSPQ0YD+IuzjkRYcP/zIFBxZj5aIns1WyyiapOzWF7PycHLSHkZEVYSVMED&#10;Z4O5DUnpkQcLdzSUWie+XioZayVxJcbHjxDVe+mnrJfvunkCAAD//wMAUEsDBBQABgAIAAAAIQC7&#10;yIoq3AAAAAcBAAAPAAAAZHJzL2Rvd25yZXYueG1sTI/BTsNADETvSPzDykhcEN20QNOGOBUggXpt&#10;6Qc4WTeJyO5G2W2T/j3uCU4ea6yZ53wz2U6deQitdwjzWQKKXeVN62qEw/fn4wpUiOQMdd4xwoUD&#10;bIrbm5wy40e34/M+1kpCXMgIoYmxz7QOVcOWwsz37MQ7+sFSlHWotRlolHDb6UWSLLWl1klDQz1/&#10;NFz97E8W4bgdH17WY/kVD+nueflObVr6C+L93fT2CiryFP+O4Yov6FAIU+lPzgTVISzkk4iwlnF1&#10;50+JqBJhlSagi1z/5y9+AQAA//8DAFBLAQItABQABgAIAAAAIQC2gziS/gAAAOEBAAATAAAAAAAA&#10;AAAAAAAAAAAAAABbQ29udGVudF9UeXBlc10ueG1sUEsBAi0AFAAGAAgAAAAhADj9If/WAAAAlAEA&#10;AAsAAAAAAAAAAAAAAAAALwEAAF9yZWxzLy5yZWxzUEsBAi0AFAAGAAgAAAAhAGQeXSkLAgAA9gMA&#10;AA4AAAAAAAAAAAAAAAAALgIAAGRycy9lMm9Eb2MueG1sUEsBAi0AFAAGAAgAAAAhALvIiircAAAA&#10;BwEAAA8AAAAAAAAAAAAAAAAAZQQAAGRycy9kb3ducmV2LnhtbFBLBQYAAAAABAAEAPMAAABuBQAA&#10;AAA=&#10;" stroked="f">
                      <v:textbox>
                        <w:txbxContent>
                          <w:p w14:paraId="1D4BA1CD" w14:textId="74BFAA39" w:rsidR="00C608E4" w:rsidRPr="00C608E4" w:rsidRDefault="009C0641" w:rsidP="00C608E4">
                            <w:pPr>
                              <w:jc w:val="center"/>
                              <w:rPr>
                                <w:color w:val="002060"/>
                                <w:sz w:val="48"/>
                                <w:szCs w:val="48"/>
                              </w:rPr>
                            </w:pPr>
                            <w:r>
                              <w:rPr>
                                <w:color w:val="002060"/>
                                <w:sz w:val="48"/>
                                <w:szCs w:val="48"/>
                              </w:rPr>
                              <w:t>TOC Log Updates</w:t>
                            </w:r>
                          </w:p>
                        </w:txbxContent>
                      </v:textbox>
                      <w10:wrap type="square"/>
                    </v:shape>
                  </w:pict>
                </mc:Fallback>
              </mc:AlternateContent>
            </w:r>
            <w:r w:rsidR="009C0641" w:rsidRPr="009C0641">
              <w:rPr>
                <w:sz w:val="24"/>
                <w:szCs w:val="24"/>
              </w:rPr>
              <w:t>Based on findings from our CMS audit, we have updated our TOC Logs which are now posted on the Care Coordinator website. The following changes include:</w:t>
            </w:r>
          </w:p>
          <w:p w14:paraId="7AFCAB87" w14:textId="77777777" w:rsidR="009C0641" w:rsidRDefault="009C0641" w:rsidP="00990C3D">
            <w:pPr>
              <w:rPr>
                <w:sz w:val="24"/>
                <w:szCs w:val="24"/>
              </w:rPr>
            </w:pPr>
          </w:p>
          <w:p w14:paraId="11477A32" w14:textId="355779ED" w:rsidR="009C0641" w:rsidRDefault="009C0641" w:rsidP="00990C3D">
            <w:pPr>
              <w:pStyle w:val="ListParagraph"/>
              <w:numPr>
                <w:ilvl w:val="0"/>
                <w:numId w:val="17"/>
              </w:numPr>
              <w:spacing w:before="0" w:line="240" w:lineRule="auto"/>
              <w:rPr>
                <w:sz w:val="24"/>
                <w:szCs w:val="24"/>
              </w:rPr>
            </w:pPr>
            <w:r w:rsidRPr="00891D95">
              <w:rPr>
                <w:b/>
                <w:bCs/>
                <w:sz w:val="24"/>
                <w:szCs w:val="24"/>
              </w:rPr>
              <w:t>Update to instructions for “return to usual or new usual care setting required tasks:”</w:t>
            </w:r>
            <w:r>
              <w:rPr>
                <w:sz w:val="24"/>
                <w:szCs w:val="24"/>
              </w:rPr>
              <w:t xml:space="preserve"> If the Care Coordinator is notified of member’s discharge in advance, the CC must follow up and complete the TOC tasks outlined below within one (1) business day AFTER the actual date of discharge. </w:t>
            </w:r>
          </w:p>
          <w:p w14:paraId="0E3E0E90" w14:textId="40C65567" w:rsidR="00990C3D" w:rsidRDefault="00990C3D" w:rsidP="00990C3D">
            <w:pPr>
              <w:pStyle w:val="ListParagraph"/>
              <w:numPr>
                <w:ilvl w:val="0"/>
                <w:numId w:val="17"/>
              </w:numPr>
              <w:spacing w:before="0" w:line="240" w:lineRule="auto"/>
              <w:rPr>
                <w:sz w:val="24"/>
                <w:szCs w:val="24"/>
              </w:rPr>
            </w:pPr>
            <w:r w:rsidRPr="00891D95">
              <w:rPr>
                <w:b/>
                <w:bCs/>
                <w:sz w:val="24"/>
                <w:szCs w:val="24"/>
              </w:rPr>
              <w:t>Added documentation of “Support plan required updates”.</w:t>
            </w:r>
            <w:r>
              <w:rPr>
                <w:sz w:val="24"/>
                <w:szCs w:val="24"/>
              </w:rPr>
              <w:t xml:space="preserve"> </w:t>
            </w:r>
            <w:r>
              <w:t xml:space="preserve"> </w:t>
            </w:r>
            <w:r w:rsidRPr="00990C3D">
              <w:rPr>
                <w:sz w:val="24"/>
                <w:szCs w:val="24"/>
              </w:rPr>
              <w:t>If updates are identified for community members, CC must update/revise the support plan with any changes including both formal and informal supports. For nursing home members, confirm new or new usual care setting has discharge information in order to update facility care plan.</w:t>
            </w:r>
          </w:p>
          <w:p w14:paraId="72A45C0E" w14:textId="1EFF9FFF" w:rsidR="00990C3D" w:rsidRDefault="00990C3D" w:rsidP="00990C3D">
            <w:pPr>
              <w:pStyle w:val="ListParagraph"/>
              <w:numPr>
                <w:ilvl w:val="1"/>
                <w:numId w:val="17"/>
              </w:numPr>
              <w:spacing w:before="0" w:line="240" w:lineRule="auto"/>
              <w:rPr>
                <w:sz w:val="24"/>
                <w:szCs w:val="24"/>
              </w:rPr>
            </w:pPr>
            <w:r>
              <w:rPr>
                <w:sz w:val="24"/>
                <w:szCs w:val="24"/>
              </w:rPr>
              <w:t xml:space="preserve">Checking </w:t>
            </w:r>
            <w:r w:rsidRPr="00882F91">
              <w:rPr>
                <w:i/>
                <w:iCs/>
                <w:sz w:val="24"/>
                <w:szCs w:val="24"/>
              </w:rPr>
              <w:t>Y</w:t>
            </w:r>
            <w:r w:rsidR="00882F91" w:rsidRPr="00882F91">
              <w:rPr>
                <w:i/>
                <w:iCs/>
                <w:sz w:val="24"/>
                <w:szCs w:val="24"/>
              </w:rPr>
              <w:t>es</w:t>
            </w:r>
            <w:r>
              <w:t xml:space="preserve"> </w:t>
            </w:r>
            <w:r w:rsidRPr="00990C3D">
              <w:rPr>
                <w:sz w:val="24"/>
                <w:szCs w:val="24"/>
              </w:rPr>
              <w:t>indicates an update was needed for medication changes, durable medical equipment (DME), service changes etc., resulting from a change in the member’s health status.</w:t>
            </w:r>
          </w:p>
          <w:p w14:paraId="22B83C93" w14:textId="456AAA9A" w:rsidR="00990C3D" w:rsidRDefault="00990C3D" w:rsidP="00990C3D">
            <w:pPr>
              <w:pStyle w:val="ListParagraph"/>
              <w:numPr>
                <w:ilvl w:val="1"/>
                <w:numId w:val="17"/>
              </w:numPr>
              <w:spacing w:before="0" w:line="240" w:lineRule="auto"/>
              <w:rPr>
                <w:sz w:val="24"/>
                <w:szCs w:val="24"/>
              </w:rPr>
            </w:pPr>
            <w:r>
              <w:rPr>
                <w:sz w:val="24"/>
                <w:szCs w:val="24"/>
              </w:rPr>
              <w:t xml:space="preserve">Checking </w:t>
            </w:r>
            <w:r w:rsidRPr="00882F91">
              <w:rPr>
                <w:i/>
                <w:iCs/>
                <w:sz w:val="24"/>
                <w:szCs w:val="24"/>
              </w:rPr>
              <w:t>No</w:t>
            </w:r>
            <w:r>
              <w:t xml:space="preserve"> </w:t>
            </w:r>
            <w:r w:rsidRPr="00990C3D">
              <w:rPr>
                <w:sz w:val="24"/>
                <w:szCs w:val="24"/>
              </w:rPr>
              <w:t>indicates the discussion with member/and discharge planner directs that no changes are required/requested to the care plan based on transition.</w:t>
            </w:r>
          </w:p>
          <w:p w14:paraId="6DC0F258" w14:textId="77777777" w:rsidR="00990C3D" w:rsidRPr="00990C3D" w:rsidRDefault="00990C3D" w:rsidP="00990C3D">
            <w:pPr>
              <w:rPr>
                <w:sz w:val="24"/>
                <w:szCs w:val="24"/>
              </w:rPr>
            </w:pPr>
          </w:p>
          <w:p w14:paraId="55CC0B4C" w14:textId="77777777" w:rsidR="00CA04A0" w:rsidRDefault="00990C3D" w:rsidP="00CA04A0">
            <w:pPr>
              <w:rPr>
                <w:sz w:val="24"/>
                <w:szCs w:val="24"/>
              </w:rPr>
            </w:pPr>
            <w:r>
              <w:rPr>
                <w:noProof/>
              </w:rPr>
              <w:drawing>
                <wp:inline distT="0" distB="0" distL="0" distR="0" wp14:anchorId="5D275960" wp14:editId="7EAC0565">
                  <wp:extent cx="7297647" cy="1828800"/>
                  <wp:effectExtent l="0" t="0" r="0" b="0"/>
                  <wp:docPr id="127346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69391" name=""/>
                          <pic:cNvPicPr/>
                        </pic:nvPicPr>
                        <pic:blipFill>
                          <a:blip r:embed="rId7"/>
                          <a:stretch>
                            <a:fillRect/>
                          </a:stretch>
                        </pic:blipFill>
                        <pic:spPr>
                          <a:xfrm>
                            <a:off x="0" y="0"/>
                            <a:ext cx="7307349" cy="1831231"/>
                          </a:xfrm>
                          <a:prstGeom prst="rect">
                            <a:avLst/>
                          </a:prstGeom>
                        </pic:spPr>
                      </pic:pic>
                    </a:graphicData>
                  </a:graphic>
                </wp:inline>
              </w:drawing>
            </w:r>
          </w:p>
          <w:p w14:paraId="42D7D33E" w14:textId="77777777" w:rsidR="001909C2" w:rsidRDefault="001909C2" w:rsidP="00CA04A0">
            <w:pPr>
              <w:rPr>
                <w:sz w:val="24"/>
                <w:szCs w:val="24"/>
              </w:rPr>
            </w:pPr>
          </w:p>
          <w:p w14:paraId="79C24B93" w14:textId="77777777" w:rsidR="001909C2" w:rsidRDefault="001909C2" w:rsidP="00CA04A0">
            <w:pPr>
              <w:rPr>
                <w:sz w:val="24"/>
                <w:szCs w:val="24"/>
              </w:rPr>
            </w:pPr>
          </w:p>
          <w:p w14:paraId="4F432063" w14:textId="77777777" w:rsidR="001909C2" w:rsidRDefault="001909C2" w:rsidP="00CA04A0">
            <w:pPr>
              <w:rPr>
                <w:sz w:val="24"/>
                <w:szCs w:val="24"/>
              </w:rPr>
            </w:pPr>
          </w:p>
          <w:p w14:paraId="7FA8506F" w14:textId="0D034D75" w:rsidR="001909C2" w:rsidRPr="001909C2" w:rsidRDefault="001909C2" w:rsidP="001909C2">
            <w:pPr>
              <w:rPr>
                <w:sz w:val="24"/>
                <w:szCs w:val="24"/>
              </w:rPr>
            </w:pPr>
            <w:r w:rsidRPr="001909C2">
              <w:rPr>
                <w:sz w:val="24"/>
                <w:szCs w:val="24"/>
              </w:rPr>
              <w:t>As a Care Coordinator</w:t>
            </w:r>
            <w:r>
              <w:rPr>
                <w:sz w:val="24"/>
                <w:szCs w:val="24"/>
              </w:rPr>
              <w:t>,</w:t>
            </w:r>
            <w:r w:rsidRPr="001909C2">
              <w:rPr>
                <w:sz w:val="24"/>
                <w:szCs w:val="24"/>
              </w:rPr>
              <w:t xml:space="preserve"> your involvement in transitions of care is designed to not only assist with the transition but is also paramount in assisting members to not be readmitted. Recent data shows there is an increase in readmission for our seniors. Discussing the transition home along with the “Four Pillars for Optimal Transition” with a focus on how and what can be done to prevent readmissions is truly valuable.</w:t>
            </w:r>
          </w:p>
          <w:p w14:paraId="0EBBF7B3" w14:textId="77777777" w:rsidR="001909C2" w:rsidRDefault="001909C2" w:rsidP="00CA04A0">
            <w:pPr>
              <w:rPr>
                <w:sz w:val="24"/>
                <w:szCs w:val="24"/>
              </w:rPr>
            </w:pPr>
          </w:p>
          <w:p w14:paraId="78C82715" w14:textId="3C7CB689" w:rsidR="001909C2" w:rsidRPr="00882F91" w:rsidRDefault="001909C2" w:rsidP="00CA04A0">
            <w:pPr>
              <w:rPr>
                <w:b/>
                <w:bCs/>
                <w:sz w:val="24"/>
                <w:szCs w:val="24"/>
              </w:rPr>
            </w:pPr>
            <w:r w:rsidRPr="00882F91">
              <w:rPr>
                <w:b/>
                <w:bCs/>
                <w:sz w:val="24"/>
                <w:szCs w:val="24"/>
              </w:rPr>
              <w:t xml:space="preserve">As a reminder, completion of </w:t>
            </w:r>
            <w:r w:rsidR="00882F91">
              <w:rPr>
                <w:b/>
                <w:bCs/>
                <w:sz w:val="24"/>
                <w:szCs w:val="24"/>
              </w:rPr>
              <w:t>t</w:t>
            </w:r>
            <w:r w:rsidRPr="00882F91">
              <w:rPr>
                <w:b/>
                <w:bCs/>
                <w:sz w:val="24"/>
                <w:szCs w:val="24"/>
              </w:rPr>
              <w:t>he “Four Pillars for Optional Transition” tasks on the TOC log include:</w:t>
            </w:r>
          </w:p>
          <w:p w14:paraId="268507D9" w14:textId="014CE074" w:rsidR="001909C2" w:rsidRDefault="001909C2" w:rsidP="001909C2">
            <w:pPr>
              <w:pStyle w:val="ListParagraph"/>
              <w:numPr>
                <w:ilvl w:val="0"/>
                <w:numId w:val="18"/>
              </w:numPr>
              <w:spacing w:before="0" w:line="240" w:lineRule="auto"/>
              <w:rPr>
                <w:sz w:val="24"/>
                <w:szCs w:val="24"/>
              </w:rPr>
            </w:pPr>
            <w:r>
              <w:rPr>
                <w:sz w:val="24"/>
                <w:szCs w:val="24"/>
              </w:rPr>
              <w:t>Timely primary care/specialty care follow up</w:t>
            </w:r>
          </w:p>
          <w:p w14:paraId="516AD166" w14:textId="1DD73DDA" w:rsidR="001909C2" w:rsidRDefault="001909C2" w:rsidP="001909C2">
            <w:pPr>
              <w:pStyle w:val="ListParagraph"/>
              <w:numPr>
                <w:ilvl w:val="0"/>
                <w:numId w:val="18"/>
              </w:numPr>
              <w:spacing w:before="0" w:line="240" w:lineRule="auto"/>
              <w:rPr>
                <w:sz w:val="24"/>
                <w:szCs w:val="24"/>
              </w:rPr>
            </w:pPr>
            <w:r>
              <w:rPr>
                <w:sz w:val="24"/>
                <w:szCs w:val="24"/>
              </w:rPr>
              <w:t>Medication self-management</w:t>
            </w:r>
          </w:p>
          <w:p w14:paraId="48079911" w14:textId="02A8B5DD" w:rsidR="001909C2" w:rsidRDefault="001909C2" w:rsidP="001909C2">
            <w:pPr>
              <w:pStyle w:val="ListParagraph"/>
              <w:numPr>
                <w:ilvl w:val="0"/>
                <w:numId w:val="18"/>
              </w:numPr>
              <w:spacing w:before="0" w:line="240" w:lineRule="auto"/>
              <w:rPr>
                <w:sz w:val="24"/>
                <w:szCs w:val="24"/>
              </w:rPr>
            </w:pPr>
            <w:r>
              <w:rPr>
                <w:sz w:val="24"/>
                <w:szCs w:val="24"/>
              </w:rPr>
              <w:t>Knowledge of red flags that indicate a worsening in their condition and how to respond</w:t>
            </w:r>
          </w:p>
          <w:p w14:paraId="75738574" w14:textId="0FDEACFA" w:rsidR="001909C2" w:rsidRPr="001909C2" w:rsidRDefault="001909C2" w:rsidP="001909C2">
            <w:pPr>
              <w:pStyle w:val="ListParagraph"/>
              <w:numPr>
                <w:ilvl w:val="0"/>
                <w:numId w:val="18"/>
              </w:numPr>
              <w:spacing w:before="0" w:line="240" w:lineRule="auto"/>
              <w:rPr>
                <w:sz w:val="24"/>
                <w:szCs w:val="24"/>
              </w:rPr>
            </w:pPr>
            <w:r>
              <w:rPr>
                <w:sz w:val="24"/>
                <w:szCs w:val="24"/>
              </w:rPr>
              <w:t>Use of a Personal Health Care Record</w:t>
            </w:r>
          </w:p>
          <w:p w14:paraId="04C537CF" w14:textId="77777777" w:rsidR="001909C2" w:rsidRDefault="001909C2" w:rsidP="00CA04A0">
            <w:pPr>
              <w:rPr>
                <w:sz w:val="24"/>
                <w:szCs w:val="24"/>
              </w:rPr>
            </w:pPr>
          </w:p>
          <w:p w14:paraId="5B40072C" w14:textId="575EAA4B" w:rsidR="001909C2" w:rsidRPr="00990C3D" w:rsidRDefault="001909C2" w:rsidP="001909C2">
            <w:pPr>
              <w:jc w:val="center"/>
              <w:rPr>
                <w:sz w:val="24"/>
                <w:szCs w:val="24"/>
              </w:rPr>
            </w:pPr>
            <w:r>
              <w:rPr>
                <w:noProof/>
              </w:rPr>
              <w:drawing>
                <wp:inline distT="0" distB="0" distL="0" distR="0" wp14:anchorId="65B7E97E" wp14:editId="3CE85E96">
                  <wp:extent cx="6696075" cy="934879"/>
                  <wp:effectExtent l="152400" t="152400" r="352425" b="360680"/>
                  <wp:docPr id="80523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1473" name=""/>
                          <pic:cNvPicPr/>
                        </pic:nvPicPr>
                        <pic:blipFill>
                          <a:blip r:embed="rId8"/>
                          <a:stretch>
                            <a:fillRect/>
                          </a:stretch>
                        </pic:blipFill>
                        <pic:spPr>
                          <a:xfrm>
                            <a:off x="0" y="0"/>
                            <a:ext cx="6751909" cy="942674"/>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14:paraId="312A35C6" w14:textId="2D4576B2" w:rsidR="00690495" w:rsidRPr="00690495" w:rsidRDefault="00690495" w:rsidP="00990C3D">
      <w:pPr>
        <w:tabs>
          <w:tab w:val="left" w:pos="5355"/>
        </w:tabs>
      </w:pPr>
    </w:p>
    <w:sectPr w:rsidR="00690495" w:rsidRPr="00690495" w:rsidSect="00696BE2">
      <w:headerReference w:type="default" r:id="rId9"/>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2DF2273" w:rsidR="00AF1D04" w:rsidRPr="00AF1D04" w:rsidRDefault="009C0641"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8-16-2024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52DF2273" w:rsidR="00AF1D04" w:rsidRPr="00AF1D04" w:rsidRDefault="009C0641"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8-16-2024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A27A3"/>
    <w:multiLevelType w:val="hybridMultilevel"/>
    <w:tmpl w:val="34F88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29F1E95"/>
    <w:multiLevelType w:val="hybridMultilevel"/>
    <w:tmpl w:val="BB624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5"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2"/>
  </w:num>
  <w:num w:numId="2" w16cid:durableId="1797331095">
    <w:abstractNumId w:val="6"/>
  </w:num>
  <w:num w:numId="3" w16cid:durableId="214856249">
    <w:abstractNumId w:val="10"/>
  </w:num>
  <w:num w:numId="4" w16cid:durableId="1499616861">
    <w:abstractNumId w:val="14"/>
  </w:num>
  <w:num w:numId="5" w16cid:durableId="2073769093">
    <w:abstractNumId w:val="0"/>
  </w:num>
  <w:num w:numId="6" w16cid:durableId="18362904">
    <w:abstractNumId w:val="16"/>
  </w:num>
  <w:num w:numId="7" w16cid:durableId="495341996">
    <w:abstractNumId w:val="17"/>
  </w:num>
  <w:num w:numId="8" w16cid:durableId="195433800">
    <w:abstractNumId w:val="2"/>
  </w:num>
  <w:num w:numId="9" w16cid:durableId="2131320421">
    <w:abstractNumId w:val="11"/>
  </w:num>
  <w:num w:numId="10" w16cid:durableId="292836173">
    <w:abstractNumId w:val="7"/>
  </w:num>
  <w:num w:numId="11" w16cid:durableId="590047722">
    <w:abstractNumId w:val="3"/>
  </w:num>
  <w:num w:numId="12" w16cid:durableId="1674527007">
    <w:abstractNumId w:val="5"/>
  </w:num>
  <w:num w:numId="13" w16cid:durableId="1073697651">
    <w:abstractNumId w:val="4"/>
  </w:num>
  <w:num w:numId="14" w16cid:durableId="1167403472">
    <w:abstractNumId w:val="13"/>
  </w:num>
  <w:num w:numId="15" w16cid:durableId="1282767395">
    <w:abstractNumId w:val="15"/>
  </w:num>
  <w:num w:numId="16" w16cid:durableId="974333673">
    <w:abstractNumId w:val="9"/>
  </w:num>
  <w:num w:numId="17" w16cid:durableId="1462651028">
    <w:abstractNumId w:val="1"/>
  </w:num>
  <w:num w:numId="18" w16cid:durableId="1425683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150443"/>
    <w:rsid w:val="001909C2"/>
    <w:rsid w:val="00215F34"/>
    <w:rsid w:val="00222CB4"/>
    <w:rsid w:val="00287C94"/>
    <w:rsid w:val="002D3FDE"/>
    <w:rsid w:val="002E7252"/>
    <w:rsid w:val="003C1F8E"/>
    <w:rsid w:val="004C3F55"/>
    <w:rsid w:val="004D30F0"/>
    <w:rsid w:val="005413CA"/>
    <w:rsid w:val="005C7FFC"/>
    <w:rsid w:val="005E07CD"/>
    <w:rsid w:val="00605891"/>
    <w:rsid w:val="00661EAF"/>
    <w:rsid w:val="00667838"/>
    <w:rsid w:val="00690495"/>
    <w:rsid w:val="00696BE2"/>
    <w:rsid w:val="006B5D91"/>
    <w:rsid w:val="007808B0"/>
    <w:rsid w:val="007A42A9"/>
    <w:rsid w:val="007A5F11"/>
    <w:rsid w:val="0080562D"/>
    <w:rsid w:val="00882F91"/>
    <w:rsid w:val="00887099"/>
    <w:rsid w:val="008877C2"/>
    <w:rsid w:val="00891D95"/>
    <w:rsid w:val="00954AF8"/>
    <w:rsid w:val="00986E5D"/>
    <w:rsid w:val="00990C3D"/>
    <w:rsid w:val="00997EB3"/>
    <w:rsid w:val="009C0641"/>
    <w:rsid w:val="00A12B57"/>
    <w:rsid w:val="00A16F35"/>
    <w:rsid w:val="00A24223"/>
    <w:rsid w:val="00AA1C20"/>
    <w:rsid w:val="00AB049B"/>
    <w:rsid w:val="00AD5757"/>
    <w:rsid w:val="00AF1D04"/>
    <w:rsid w:val="00BB1FFD"/>
    <w:rsid w:val="00BD6DF2"/>
    <w:rsid w:val="00C07D4C"/>
    <w:rsid w:val="00C608E4"/>
    <w:rsid w:val="00CA04A0"/>
    <w:rsid w:val="00CA1E33"/>
    <w:rsid w:val="00CA2A1A"/>
    <w:rsid w:val="00CF49F1"/>
    <w:rsid w:val="00D5294C"/>
    <w:rsid w:val="00D702EC"/>
    <w:rsid w:val="00EA7FBB"/>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styleId="CommentReference">
    <w:name w:val="annotation reference"/>
    <w:basedOn w:val="DefaultParagraphFont"/>
    <w:uiPriority w:val="99"/>
    <w:semiHidden/>
    <w:unhideWhenUsed/>
    <w:rsid w:val="00EA7FBB"/>
    <w:rPr>
      <w:sz w:val="16"/>
      <w:szCs w:val="16"/>
    </w:rPr>
  </w:style>
  <w:style w:type="paragraph" w:styleId="CommentText">
    <w:name w:val="annotation text"/>
    <w:basedOn w:val="Normal"/>
    <w:link w:val="CommentTextChar"/>
    <w:uiPriority w:val="99"/>
    <w:unhideWhenUsed/>
    <w:rsid w:val="00EA7FBB"/>
    <w:pPr>
      <w:spacing w:line="240" w:lineRule="auto"/>
    </w:pPr>
    <w:rPr>
      <w:sz w:val="20"/>
      <w:szCs w:val="20"/>
    </w:rPr>
  </w:style>
  <w:style w:type="character" w:customStyle="1" w:styleId="CommentTextChar">
    <w:name w:val="Comment Text Char"/>
    <w:basedOn w:val="DefaultParagraphFont"/>
    <w:link w:val="CommentText"/>
    <w:uiPriority w:val="99"/>
    <w:rsid w:val="00EA7FBB"/>
    <w:rPr>
      <w:sz w:val="20"/>
      <w:szCs w:val="20"/>
    </w:rPr>
  </w:style>
  <w:style w:type="paragraph" w:styleId="CommentSubject">
    <w:name w:val="annotation subject"/>
    <w:basedOn w:val="CommentText"/>
    <w:next w:val="CommentText"/>
    <w:link w:val="CommentSubjectChar"/>
    <w:uiPriority w:val="99"/>
    <w:semiHidden/>
    <w:unhideWhenUsed/>
    <w:rsid w:val="00EA7FBB"/>
    <w:rPr>
      <w:b/>
      <w:bCs/>
    </w:rPr>
  </w:style>
  <w:style w:type="character" w:customStyle="1" w:styleId="CommentSubjectChar">
    <w:name w:val="Comment Subject Char"/>
    <w:basedOn w:val="CommentTextChar"/>
    <w:link w:val="CommentSubject"/>
    <w:uiPriority w:val="99"/>
    <w:semiHidden/>
    <w:rsid w:val="00EA7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69715">
      <w:bodyDiv w:val="1"/>
      <w:marLeft w:val="0"/>
      <w:marRight w:val="0"/>
      <w:marTop w:val="0"/>
      <w:marBottom w:val="0"/>
      <w:divBdr>
        <w:top w:val="none" w:sz="0" w:space="0" w:color="auto"/>
        <w:left w:val="none" w:sz="0" w:space="0" w:color="auto"/>
        <w:bottom w:val="none" w:sz="0" w:space="0" w:color="auto"/>
        <w:right w:val="none" w:sz="0" w:space="0" w:color="auto"/>
      </w:divBdr>
    </w:div>
    <w:div w:id="125125320">
      <w:bodyDiv w:val="1"/>
      <w:marLeft w:val="0"/>
      <w:marRight w:val="0"/>
      <w:marTop w:val="0"/>
      <w:marBottom w:val="0"/>
      <w:divBdr>
        <w:top w:val="none" w:sz="0" w:space="0" w:color="auto"/>
        <w:left w:val="none" w:sz="0" w:space="0" w:color="auto"/>
        <w:bottom w:val="none" w:sz="0" w:space="0" w:color="auto"/>
        <w:right w:val="none" w:sz="0" w:space="0" w:color="auto"/>
      </w:divBdr>
    </w:div>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676538749">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7242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274</Words>
  <Characters>1564</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Melinda Heaser</cp:lastModifiedBy>
  <cp:revision>6</cp:revision>
  <cp:lastPrinted>2023-04-13T19:37:00Z</cp:lastPrinted>
  <dcterms:created xsi:type="dcterms:W3CDTF">2024-08-14T18:56:00Z</dcterms:created>
  <dcterms:modified xsi:type="dcterms:W3CDTF">2024-08-15T15:49:00Z</dcterms:modified>
</cp:coreProperties>
</file>