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rsidRPr="003733D5" w14:paraId="42600EA8" w14:textId="77777777" w:rsidTr="00CA04A0">
        <w:trPr>
          <w:trHeight w:val="9330"/>
        </w:trPr>
        <w:tc>
          <w:tcPr>
            <w:tcW w:w="11520" w:type="dxa"/>
          </w:tcPr>
          <w:p w14:paraId="7C2F7D2E" w14:textId="2FC7E0B7" w:rsidR="00CA04A0" w:rsidRPr="003733D5" w:rsidRDefault="00C608E4" w:rsidP="001A4308">
            <w:pPr>
              <w:spacing w:before="60" w:after="60"/>
              <w:rPr>
                <w:sz w:val="24"/>
                <w:szCs w:val="24"/>
              </w:rPr>
            </w:pPr>
            <w:r w:rsidRPr="003733D5">
              <w:rPr>
                <w:noProof/>
                <w:sz w:val="24"/>
                <w:szCs w:val="24"/>
              </w:rPr>
              <mc:AlternateContent>
                <mc:Choice Requires="wps">
                  <w:drawing>
                    <wp:anchor distT="45720" distB="45720" distL="114300" distR="114300" simplePos="0" relativeHeight="251659264" behindDoc="0" locked="0" layoutInCell="1" allowOverlap="1" wp14:anchorId="38191BE5" wp14:editId="6B4C26CA">
                      <wp:simplePos x="0" y="0"/>
                      <wp:positionH relativeFrom="column">
                        <wp:posOffset>7620</wp:posOffset>
                      </wp:positionH>
                      <wp:positionV relativeFrom="paragraph">
                        <wp:posOffset>57150</wp:posOffset>
                      </wp:positionV>
                      <wp:extent cx="7162800" cy="876300"/>
                      <wp:effectExtent l="0" t="0" r="0" b="0"/>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76300"/>
                              </a:xfrm>
                              <a:prstGeom prst="rect">
                                <a:avLst/>
                              </a:prstGeom>
                              <a:solidFill>
                                <a:srgbClr val="FFFFFF"/>
                              </a:solidFill>
                              <a:ln w="9525">
                                <a:noFill/>
                                <a:miter lim="800000"/>
                                <a:headEnd/>
                                <a:tailEnd/>
                              </a:ln>
                            </wps:spPr>
                            <wps:txbx>
                              <w:txbxContent>
                                <w:p w14:paraId="1D4BA1CD" w14:textId="5068E4FA" w:rsidR="00C608E4" w:rsidRPr="001A4308" w:rsidRDefault="00296452" w:rsidP="00C608E4">
                                  <w:pPr>
                                    <w:jc w:val="center"/>
                                    <w:rPr>
                                      <w:b/>
                                      <w:bCs/>
                                      <w:color w:val="0070C0"/>
                                      <w:sz w:val="44"/>
                                      <w:szCs w:val="44"/>
                                    </w:rPr>
                                  </w:pPr>
                                  <w:r>
                                    <w:rPr>
                                      <w:b/>
                                      <w:bCs/>
                                      <w:color w:val="0070C0"/>
                                      <w:sz w:val="44"/>
                                      <w:szCs w:val="44"/>
                                    </w:rPr>
                                    <w:t xml:space="preserve">DHS </w:t>
                                  </w:r>
                                  <w:r w:rsidR="001A4308" w:rsidRPr="001A4308">
                                    <w:rPr>
                                      <w:b/>
                                      <w:bCs/>
                                      <w:color w:val="0070C0"/>
                                      <w:sz w:val="44"/>
                                      <w:szCs w:val="44"/>
                                    </w:rPr>
                                    <w:t>Report on open forms for MnA and MnSP and person records not in revised MnCHOICES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margin-left:.6pt;margin-top:4.5pt;width:564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" stroked="f">
                      <v:textbox>
                        <w:txbxContent>
                          <w:p w14:paraId="1D4BA1CD" w14:textId="5068E4FA" w:rsidR="00C608E4" w:rsidRPr="001A4308" w:rsidRDefault="00296452" w:rsidP="00C608E4">
                            <w:pPr>
                              <w:jc w:val="center"/>
                              <w:rPr>
                                <w:b/>
                                <w:bCs/>
                                <w:color w:val="0070C0"/>
                                <w:sz w:val="44"/>
                                <w:szCs w:val="44"/>
                              </w:rPr>
                            </w:pPr>
                            <w:r>
                              <w:rPr>
                                <w:b/>
                                <w:bCs/>
                                <w:color w:val="0070C0"/>
                                <w:sz w:val="44"/>
                                <w:szCs w:val="44"/>
                              </w:rPr>
                              <w:t xml:space="preserve">DHS </w:t>
                            </w:r>
                            <w:r w:rsidR="001A4308" w:rsidRPr="001A4308">
                              <w:rPr>
                                <w:b/>
                                <w:bCs/>
                                <w:color w:val="0070C0"/>
                                <w:sz w:val="44"/>
                                <w:szCs w:val="44"/>
                              </w:rPr>
                              <w:t>Report on open forms for MnA and MnSP and person records not in revised MnCHOICES</w:t>
                            </w:r>
                          </w:p>
                        </w:txbxContent>
                      </v:textbox>
                      <w10:wrap type="square"/>
                    </v:shape>
                  </w:pict>
                </mc:Fallback>
              </mc:AlternateContent>
            </w:r>
          </w:p>
          <w:p w14:paraId="44E23689" w14:textId="285AC833" w:rsidR="00CA04A0" w:rsidRPr="003733D5" w:rsidRDefault="001A4308" w:rsidP="001A4308">
            <w:pPr>
              <w:jc w:val="center"/>
              <w:rPr>
                <w:sz w:val="24"/>
                <w:szCs w:val="24"/>
              </w:rPr>
            </w:pPr>
            <w:r w:rsidRPr="003733D5">
              <w:rPr>
                <w:rFonts w:eastAsia="Times New Roman"/>
                <w:noProof/>
                <w:sz w:val="24"/>
                <w:szCs w:val="24"/>
              </w:rPr>
              <w:drawing>
                <wp:inline distT="0" distB="0" distL="0" distR="0" wp14:anchorId="3DBF106A" wp14:editId="1DB3ADCE">
                  <wp:extent cx="3114675" cy="613841"/>
                  <wp:effectExtent l="0" t="0" r="0" b="0"/>
                  <wp:docPr id="1294316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133005" cy="617454"/>
                          </a:xfrm>
                          <a:prstGeom prst="rect">
                            <a:avLst/>
                          </a:prstGeom>
                          <a:noFill/>
                          <a:ln>
                            <a:noFill/>
                          </a:ln>
                        </pic:spPr>
                      </pic:pic>
                    </a:graphicData>
                  </a:graphic>
                </wp:inline>
              </w:drawing>
            </w:r>
          </w:p>
          <w:p w14:paraId="3553041B" w14:textId="3BF80E60" w:rsidR="00CA04A0" w:rsidRPr="003733D5" w:rsidRDefault="00CA04A0" w:rsidP="001A4308">
            <w:pPr>
              <w:jc w:val="center"/>
              <w:rPr>
                <w:sz w:val="24"/>
                <w:szCs w:val="24"/>
              </w:rPr>
            </w:pPr>
          </w:p>
          <w:p w14:paraId="4CD14D95" w14:textId="77777777" w:rsidR="00CA04A0" w:rsidRPr="003733D5" w:rsidRDefault="00CA04A0" w:rsidP="00CA04A0">
            <w:pPr>
              <w:rPr>
                <w:sz w:val="24"/>
                <w:szCs w:val="24"/>
              </w:rPr>
            </w:pPr>
          </w:p>
          <w:p w14:paraId="1A6E1DA9" w14:textId="77777777" w:rsidR="001A4308" w:rsidRPr="003733D5" w:rsidRDefault="001A4308" w:rsidP="001A4308">
            <w:pPr>
              <w:pStyle w:val="Heading2"/>
              <w:rPr>
                <w:b/>
                <w:bCs/>
                <w:sz w:val="24"/>
                <w:szCs w:val="24"/>
              </w:rPr>
            </w:pPr>
            <w:r w:rsidRPr="003733D5">
              <w:rPr>
                <w:rFonts w:ascii="Calibri" w:eastAsia="Times New Roman" w:hAnsi="Calibri" w:cs="Calibri"/>
                <w:b/>
                <w:bCs/>
                <w:sz w:val="24"/>
                <w:szCs w:val="24"/>
              </w:rPr>
              <w:t xml:space="preserve">Purpose: </w:t>
            </w:r>
          </w:p>
          <w:p w14:paraId="0D74ABF9" w14:textId="365ED6FB" w:rsidR="001A4308" w:rsidRDefault="001A4308" w:rsidP="001A4308">
            <w:pPr>
              <w:rPr>
                <w:sz w:val="24"/>
                <w:szCs w:val="24"/>
              </w:rPr>
            </w:pPr>
            <w:r w:rsidRPr="003733D5">
              <w:rPr>
                <w:sz w:val="24"/>
                <w:szCs w:val="24"/>
              </w:rPr>
              <w:t xml:space="preserve">For agencies who received a </w:t>
            </w:r>
            <w:r w:rsidRPr="003733D5">
              <w:rPr>
                <w:b/>
                <w:bCs/>
                <w:sz w:val="24"/>
                <w:szCs w:val="24"/>
              </w:rPr>
              <w:t>report on open forms for MnA and MnSP and person records not in revised MnCHOICES</w:t>
            </w:r>
            <w:r w:rsidRPr="003733D5">
              <w:rPr>
                <w:sz w:val="24"/>
                <w:szCs w:val="24"/>
              </w:rPr>
              <w:t xml:space="preserve">.  This </w:t>
            </w:r>
            <w:r w:rsidR="003733D5" w:rsidRPr="003733D5">
              <w:rPr>
                <w:sz w:val="24"/>
                <w:szCs w:val="24"/>
              </w:rPr>
              <w:t>information</w:t>
            </w:r>
            <w:r w:rsidRPr="003733D5">
              <w:rPr>
                <w:sz w:val="24"/>
                <w:szCs w:val="24"/>
              </w:rPr>
              <w:t xml:space="preserve"> includes a method to ensure PDF’s are loaded by double checking the SW Index IDs and provides answers to commonly asked questions. </w:t>
            </w:r>
          </w:p>
          <w:p w14:paraId="02D3F668" w14:textId="392F4B33" w:rsidR="005D692B" w:rsidRPr="0043358D" w:rsidRDefault="005D692B" w:rsidP="005D692B">
            <w:pPr>
              <w:pStyle w:val="ListParagraph"/>
              <w:widowControl/>
              <w:numPr>
                <w:ilvl w:val="0"/>
                <w:numId w:val="19"/>
              </w:numPr>
              <w:autoSpaceDE/>
              <w:autoSpaceDN/>
              <w:spacing w:before="0" w:line="240" w:lineRule="auto"/>
              <w:rPr>
                <w:rFonts w:cstheme="minorHAnsi"/>
                <w:sz w:val="24"/>
                <w:szCs w:val="24"/>
              </w:rPr>
            </w:pPr>
            <w:r w:rsidRPr="0043358D">
              <w:rPr>
                <w:rFonts w:cstheme="minorHAnsi"/>
                <w:sz w:val="24"/>
                <w:szCs w:val="24"/>
              </w:rPr>
              <w:t>Though the deadline is September 15, do not wait until the last minute to submit your MnCHOICES Help Desk Ticket</w:t>
            </w:r>
            <w:r>
              <w:rPr>
                <w:rFonts w:cstheme="minorHAnsi"/>
                <w:sz w:val="24"/>
                <w:szCs w:val="24"/>
              </w:rPr>
              <w:t xml:space="preserve"> (see options to resolve below)</w:t>
            </w:r>
            <w:r w:rsidRPr="0043358D">
              <w:rPr>
                <w:rFonts w:cstheme="minorHAnsi"/>
                <w:sz w:val="24"/>
                <w:szCs w:val="24"/>
              </w:rPr>
              <w:t xml:space="preserve">. </w:t>
            </w:r>
            <w:r w:rsidRPr="0043358D">
              <w:rPr>
                <w:rStyle w:val="cf01"/>
                <w:rFonts w:asciiTheme="minorHAnsi" w:hAnsiTheme="minorHAnsi" w:cstheme="minorHAnsi"/>
                <w:sz w:val="24"/>
                <w:szCs w:val="24"/>
              </w:rPr>
              <w:t>Start sending them in as soon as they’re noticed to allow the MnCHOICES help desk adequate time to process all of the requests before the systems are retired at the end of September.</w:t>
            </w:r>
          </w:p>
          <w:p w14:paraId="0EF5B2AB" w14:textId="77777777" w:rsidR="005D692B" w:rsidRPr="003733D5" w:rsidRDefault="005D692B" w:rsidP="001A4308">
            <w:pPr>
              <w:rPr>
                <w:sz w:val="24"/>
                <w:szCs w:val="24"/>
              </w:rPr>
            </w:pPr>
          </w:p>
          <w:p w14:paraId="4FF61F30" w14:textId="77777777" w:rsidR="001A4308" w:rsidRPr="003733D5" w:rsidRDefault="001A4308" w:rsidP="001A4308">
            <w:pPr>
              <w:rPr>
                <w:sz w:val="24"/>
                <w:szCs w:val="24"/>
              </w:rPr>
            </w:pPr>
          </w:p>
          <w:p w14:paraId="301742F7" w14:textId="77777777" w:rsidR="001A4308" w:rsidRPr="005D692B" w:rsidRDefault="001A4308" w:rsidP="001A4308">
            <w:pPr>
              <w:pStyle w:val="Heading2"/>
              <w:rPr>
                <w:rFonts w:ascii="Calibri" w:eastAsia="Times New Roman" w:hAnsi="Calibri" w:cs="Calibri"/>
                <w:b/>
                <w:bCs/>
                <w:sz w:val="24"/>
                <w:szCs w:val="24"/>
              </w:rPr>
            </w:pPr>
            <w:r w:rsidRPr="005D692B">
              <w:rPr>
                <w:rFonts w:ascii="Calibri" w:eastAsia="Times New Roman" w:hAnsi="Calibri" w:cs="Calibri"/>
                <w:b/>
                <w:bCs/>
                <w:sz w:val="24"/>
                <w:szCs w:val="24"/>
              </w:rPr>
              <w:t>SW Index Instructions:</w:t>
            </w:r>
          </w:p>
          <w:p w14:paraId="0770BEFF" w14:textId="77777777" w:rsidR="001A4308" w:rsidRPr="003733D5" w:rsidRDefault="001A4308" w:rsidP="001A4308">
            <w:pPr>
              <w:rPr>
                <w:sz w:val="24"/>
                <w:szCs w:val="24"/>
              </w:rPr>
            </w:pPr>
            <w:r w:rsidRPr="003733D5">
              <w:rPr>
                <w:sz w:val="24"/>
                <w:szCs w:val="24"/>
              </w:rPr>
              <w:t>Legacy applications include MnCHOICES 1.0 Assessment (MnA) and MnCHOICES 1.0 Support Plan (MnSP).</w:t>
            </w:r>
          </w:p>
          <w:p w14:paraId="0B5BF822" w14:textId="77777777" w:rsidR="001A4308" w:rsidRPr="003733D5" w:rsidRDefault="001A4308" w:rsidP="001A4308">
            <w:pPr>
              <w:rPr>
                <w:sz w:val="24"/>
                <w:szCs w:val="24"/>
              </w:rPr>
            </w:pPr>
          </w:p>
          <w:p w14:paraId="624AEC5E" w14:textId="344E4AC7" w:rsidR="001A4308" w:rsidRPr="003733D5" w:rsidRDefault="001A4308" w:rsidP="001A4308">
            <w:pPr>
              <w:pStyle w:val="ListParagraph"/>
              <w:widowControl/>
              <w:numPr>
                <w:ilvl w:val="0"/>
                <w:numId w:val="17"/>
              </w:numPr>
              <w:autoSpaceDE/>
              <w:autoSpaceDN/>
              <w:spacing w:before="0" w:line="264" w:lineRule="auto"/>
              <w:contextualSpacing/>
              <w:rPr>
                <w:sz w:val="24"/>
                <w:szCs w:val="24"/>
              </w:rPr>
            </w:pPr>
            <w:r w:rsidRPr="003733D5">
              <w:rPr>
                <w:b/>
                <w:bCs/>
                <w:sz w:val="24"/>
                <w:szCs w:val="24"/>
              </w:rPr>
              <w:t xml:space="preserve">For Person </w:t>
            </w:r>
            <w:r w:rsidR="002E4041">
              <w:rPr>
                <w:b/>
                <w:bCs/>
                <w:sz w:val="24"/>
                <w:szCs w:val="24"/>
              </w:rPr>
              <w:t>you</w:t>
            </w:r>
            <w:r w:rsidRPr="003733D5">
              <w:rPr>
                <w:b/>
                <w:bCs/>
                <w:sz w:val="24"/>
                <w:szCs w:val="24"/>
              </w:rPr>
              <w:t xml:space="preserve"> recently added or will be adding to revised MnCHOICES: </w:t>
            </w:r>
            <w:r w:rsidRPr="003733D5">
              <w:rPr>
                <w:sz w:val="24"/>
                <w:szCs w:val="24"/>
              </w:rPr>
              <w:t>In the revised MnCHOICES application go to the</w:t>
            </w:r>
            <w:r w:rsidRPr="003733D5">
              <w:rPr>
                <w:b/>
                <w:bCs/>
                <w:sz w:val="24"/>
                <w:szCs w:val="24"/>
              </w:rPr>
              <w:t xml:space="preserve"> </w:t>
            </w:r>
            <w:r w:rsidRPr="003733D5">
              <w:rPr>
                <w:sz w:val="24"/>
                <w:szCs w:val="24"/>
              </w:rPr>
              <w:t xml:space="preserve">Person Profile, Identifier section. The MMIS ID needs to match the Report’s Person record SW Index ID (SWNDX ID). If the IDs match, the historical pdf will load in October. </w:t>
            </w:r>
          </w:p>
          <w:p w14:paraId="6F5ABEF1" w14:textId="77777777" w:rsidR="001A4308" w:rsidRPr="003733D5" w:rsidRDefault="001A4308" w:rsidP="001A4308">
            <w:pPr>
              <w:pStyle w:val="ListParagraph"/>
              <w:widowControl/>
              <w:numPr>
                <w:ilvl w:val="0"/>
                <w:numId w:val="17"/>
              </w:numPr>
              <w:autoSpaceDE/>
              <w:autoSpaceDN/>
              <w:spacing w:before="0" w:line="264" w:lineRule="auto"/>
              <w:rPr>
                <w:sz w:val="24"/>
                <w:szCs w:val="24"/>
              </w:rPr>
            </w:pPr>
            <w:r w:rsidRPr="003733D5">
              <w:rPr>
                <w:b/>
                <w:bCs/>
                <w:sz w:val="24"/>
                <w:szCs w:val="24"/>
              </w:rPr>
              <w:t xml:space="preserve">Past closed forms are not loading to person record: </w:t>
            </w:r>
            <w:r w:rsidRPr="003733D5">
              <w:rPr>
                <w:sz w:val="24"/>
                <w:szCs w:val="24"/>
              </w:rPr>
              <w:t>SW Index ID in the Report tab (Legacy MnA, Legacy MnSP) for the person in does not match the MMIS ID in the revised MnCHOICES.</w:t>
            </w:r>
            <w:r w:rsidRPr="003733D5">
              <w:rPr>
                <w:b/>
                <w:bCs/>
                <w:sz w:val="24"/>
                <w:szCs w:val="24"/>
              </w:rPr>
              <w:t xml:space="preserve"> </w:t>
            </w:r>
          </w:p>
          <w:p w14:paraId="735905EE" w14:textId="77777777" w:rsidR="001A4308" w:rsidRPr="003733D5" w:rsidRDefault="001A4308" w:rsidP="003733D5">
            <w:pPr>
              <w:pStyle w:val="ListParagraph"/>
              <w:ind w:left="720"/>
              <w:rPr>
                <w:rFonts w:eastAsia="Times New Roman"/>
                <w:b/>
                <w:bCs/>
                <w:sz w:val="24"/>
                <w:szCs w:val="24"/>
              </w:rPr>
            </w:pPr>
            <w:r w:rsidRPr="003733D5">
              <w:rPr>
                <w:b/>
                <w:bCs/>
                <w:sz w:val="24"/>
                <w:szCs w:val="24"/>
              </w:rPr>
              <w:lastRenderedPageBreak/>
              <w:t>How to determine if MMIS and SW Index ID match:</w:t>
            </w:r>
          </w:p>
          <w:p w14:paraId="394562B6" w14:textId="77777777" w:rsidR="001A4308" w:rsidRPr="003733D5" w:rsidRDefault="001A4308" w:rsidP="003733D5">
            <w:pPr>
              <w:pStyle w:val="ListParagraph"/>
              <w:numPr>
                <w:ilvl w:val="0"/>
                <w:numId w:val="21"/>
              </w:numPr>
              <w:spacing w:after="240" w:line="240" w:lineRule="auto"/>
              <w:rPr>
                <w:sz w:val="24"/>
                <w:szCs w:val="24"/>
              </w:rPr>
            </w:pPr>
            <w:r w:rsidRPr="003733D5">
              <w:rPr>
                <w:sz w:val="24"/>
                <w:szCs w:val="24"/>
              </w:rPr>
              <w:t xml:space="preserve">Revised MnCHOICES, Person profile MMIS ID </w:t>
            </w:r>
          </w:p>
          <w:p w14:paraId="35E8C5A5" w14:textId="7880DACF" w:rsidR="001A4308" w:rsidRPr="003733D5" w:rsidRDefault="001A4308" w:rsidP="003733D5">
            <w:pPr>
              <w:pStyle w:val="ListParagraph"/>
              <w:jc w:val="center"/>
              <w:rPr>
                <w:b/>
                <w:bCs/>
                <w:sz w:val="24"/>
                <w:szCs w:val="24"/>
              </w:rPr>
            </w:pPr>
            <w:r w:rsidRPr="003733D5">
              <w:rPr>
                <w:b/>
                <w:bCs/>
                <w:noProof/>
                <w:sz w:val="24"/>
                <w:szCs w:val="24"/>
              </w:rPr>
              <w:drawing>
                <wp:inline distT="0" distB="0" distL="0" distR="0" wp14:anchorId="2878AD51" wp14:editId="2BE12CCF">
                  <wp:extent cx="1400175" cy="1076325"/>
                  <wp:effectExtent l="0" t="0" r="9525" b="9525"/>
                  <wp:docPr id="1317391482" name="Picture 7" descr="Screenshot of revised MnCHOICES application displaying MMIS ID under Identif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of revised MnCHOICES application displaying MMIS ID under Identifiers. "/>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00175" cy="1076325"/>
                          </a:xfrm>
                          <a:prstGeom prst="rect">
                            <a:avLst/>
                          </a:prstGeom>
                          <a:noFill/>
                          <a:ln>
                            <a:noFill/>
                          </a:ln>
                        </pic:spPr>
                      </pic:pic>
                    </a:graphicData>
                  </a:graphic>
                </wp:inline>
              </w:drawing>
            </w:r>
          </w:p>
          <w:p w14:paraId="348BF62E" w14:textId="77777777" w:rsidR="001A4308" w:rsidRPr="003733D5" w:rsidRDefault="001A4308" w:rsidP="003733D5">
            <w:pPr>
              <w:pStyle w:val="ListParagraph"/>
              <w:spacing w:after="240"/>
              <w:ind w:left="720"/>
              <w:rPr>
                <w:sz w:val="24"/>
                <w:szCs w:val="24"/>
              </w:rPr>
            </w:pPr>
            <w:r w:rsidRPr="003733D5">
              <w:rPr>
                <w:b/>
                <w:bCs/>
                <w:sz w:val="24"/>
                <w:szCs w:val="24"/>
              </w:rPr>
              <w:t xml:space="preserve">DHS Report on Person record not in MnCHOICES 1.0 </w:t>
            </w:r>
            <w:r w:rsidRPr="003733D5">
              <w:rPr>
                <w:sz w:val="24"/>
                <w:szCs w:val="24"/>
              </w:rPr>
              <w:t xml:space="preserve">(Closed Forms pdfs not loading tab) </w:t>
            </w:r>
          </w:p>
          <w:p w14:paraId="78702504" w14:textId="77777777" w:rsidR="001A4308" w:rsidRPr="003733D5" w:rsidRDefault="001A4308" w:rsidP="003733D5">
            <w:pPr>
              <w:pStyle w:val="ListParagraph"/>
              <w:numPr>
                <w:ilvl w:val="0"/>
                <w:numId w:val="21"/>
              </w:numPr>
              <w:spacing w:after="240"/>
              <w:rPr>
                <w:b/>
                <w:bCs/>
                <w:sz w:val="24"/>
                <w:szCs w:val="24"/>
              </w:rPr>
            </w:pPr>
            <w:r w:rsidRPr="003733D5">
              <w:rPr>
                <w:sz w:val="24"/>
                <w:szCs w:val="24"/>
              </w:rPr>
              <w:t>The column SW Index ID needs to match the revised MnCHOICES MMIS ID.</w:t>
            </w:r>
          </w:p>
          <w:p w14:paraId="0148F049" w14:textId="21ED8D39" w:rsidR="001A4308" w:rsidRPr="003733D5" w:rsidRDefault="001A4308" w:rsidP="001A4308">
            <w:pPr>
              <w:ind w:left="720"/>
              <w:rPr>
                <w:b/>
                <w:bCs/>
                <w:sz w:val="24"/>
                <w:szCs w:val="24"/>
              </w:rPr>
            </w:pPr>
            <w:r w:rsidRPr="003733D5">
              <w:rPr>
                <w:b/>
                <w:bCs/>
                <w:noProof/>
                <w:sz w:val="24"/>
                <w:szCs w:val="24"/>
              </w:rPr>
              <w:drawing>
                <wp:inline distT="0" distB="0" distL="0" distR="0" wp14:anchorId="389DD7D7" wp14:editId="1036D09B">
                  <wp:extent cx="5181600" cy="914400"/>
                  <wp:effectExtent l="0" t="0" r="0" b="0"/>
                  <wp:docPr id="256432685" name="Picture 6" descr="Screenshot of DHS Report on Person records not in MnCHOICES displaying the column SW Index 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DHS Report on Person records not in MnCHOICES displaying the column SW Index ID. "/>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81600" cy="914400"/>
                          </a:xfrm>
                          <a:prstGeom prst="rect">
                            <a:avLst/>
                          </a:prstGeom>
                          <a:noFill/>
                          <a:ln>
                            <a:noFill/>
                          </a:ln>
                        </pic:spPr>
                      </pic:pic>
                    </a:graphicData>
                  </a:graphic>
                </wp:inline>
              </w:drawing>
            </w:r>
          </w:p>
          <w:p w14:paraId="6636CE4C" w14:textId="77777777" w:rsidR="001A4308" w:rsidRPr="003733D5" w:rsidRDefault="001A4308" w:rsidP="001A4308">
            <w:pPr>
              <w:ind w:left="360"/>
              <w:rPr>
                <w:b/>
                <w:bCs/>
                <w:sz w:val="24"/>
                <w:szCs w:val="24"/>
              </w:rPr>
            </w:pPr>
          </w:p>
          <w:p w14:paraId="5F953923" w14:textId="77777777" w:rsidR="001A4308" w:rsidRPr="0043358D" w:rsidRDefault="001A4308" w:rsidP="001A4308">
            <w:pPr>
              <w:pStyle w:val="Heading3"/>
              <w:rPr>
                <w:rFonts w:ascii="Calibri" w:hAnsi="Calibri" w:cs="Calibri"/>
                <w:color w:val="0070C0"/>
                <w:sz w:val="24"/>
                <w:szCs w:val="24"/>
              </w:rPr>
            </w:pPr>
            <w:r w:rsidRPr="0043358D">
              <w:rPr>
                <w:rFonts w:ascii="Calibri" w:hAnsi="Calibri" w:cs="Calibri"/>
                <w:color w:val="0070C0"/>
                <w:sz w:val="24"/>
                <w:szCs w:val="24"/>
              </w:rPr>
              <w:t xml:space="preserve">Options to resolve: </w:t>
            </w:r>
          </w:p>
          <w:p w14:paraId="7ABDDEDC" w14:textId="77777777" w:rsidR="001A4308" w:rsidRPr="003733D5" w:rsidRDefault="001A4308" w:rsidP="001A4308">
            <w:pPr>
              <w:pStyle w:val="ListParagraph"/>
              <w:widowControl/>
              <w:numPr>
                <w:ilvl w:val="0"/>
                <w:numId w:val="18"/>
              </w:numPr>
              <w:autoSpaceDE/>
              <w:autoSpaceDN/>
              <w:spacing w:before="0" w:line="264" w:lineRule="auto"/>
              <w:contextualSpacing/>
              <w:rPr>
                <w:rFonts w:eastAsia="Times New Roman"/>
                <w:b/>
                <w:bCs/>
                <w:sz w:val="24"/>
                <w:szCs w:val="24"/>
              </w:rPr>
            </w:pPr>
            <w:r w:rsidRPr="003733D5">
              <w:rPr>
                <w:b/>
                <w:bCs/>
                <w:sz w:val="24"/>
                <w:szCs w:val="24"/>
              </w:rPr>
              <w:t>Create a list of person records with SWNDX ID and MMIS ID that do not match and submit it in the MnCHOICES Help Desk form Question Type – Technical. In the description write, “Historical data fix” and include:</w:t>
            </w:r>
          </w:p>
          <w:p w14:paraId="611B9462" w14:textId="77777777" w:rsidR="001A4308" w:rsidRPr="003733D5" w:rsidRDefault="001A4308" w:rsidP="001A4308">
            <w:pPr>
              <w:pStyle w:val="ListParagraph"/>
              <w:widowControl/>
              <w:numPr>
                <w:ilvl w:val="1"/>
                <w:numId w:val="19"/>
              </w:numPr>
              <w:autoSpaceDE/>
              <w:autoSpaceDN/>
              <w:spacing w:before="0" w:line="240" w:lineRule="auto"/>
              <w:rPr>
                <w:sz w:val="24"/>
                <w:szCs w:val="24"/>
              </w:rPr>
            </w:pPr>
            <w:r w:rsidRPr="003733D5">
              <w:rPr>
                <w:sz w:val="24"/>
                <w:szCs w:val="24"/>
              </w:rPr>
              <w:t>The Person ID in MnCHOICES Revision aka ‘System ID’ (This must be included)</w:t>
            </w:r>
          </w:p>
          <w:p w14:paraId="7A18542E" w14:textId="77777777" w:rsidR="001A4308" w:rsidRPr="003733D5" w:rsidRDefault="001A4308" w:rsidP="001A4308">
            <w:pPr>
              <w:pStyle w:val="ListParagraph"/>
              <w:widowControl/>
              <w:numPr>
                <w:ilvl w:val="1"/>
                <w:numId w:val="19"/>
              </w:numPr>
              <w:autoSpaceDE/>
              <w:autoSpaceDN/>
              <w:spacing w:before="0" w:line="240" w:lineRule="auto"/>
              <w:rPr>
                <w:sz w:val="24"/>
                <w:szCs w:val="24"/>
              </w:rPr>
            </w:pPr>
            <w:r w:rsidRPr="003733D5">
              <w:rPr>
                <w:sz w:val="24"/>
                <w:szCs w:val="24"/>
              </w:rPr>
              <w:t>The PERSON_ID from the report for MnA or MnSP.</w:t>
            </w:r>
          </w:p>
          <w:p w14:paraId="12626E16" w14:textId="77777777" w:rsidR="001A4308" w:rsidRPr="003733D5" w:rsidRDefault="001A4308" w:rsidP="001A4308">
            <w:pPr>
              <w:pStyle w:val="ListParagraph"/>
              <w:widowControl/>
              <w:numPr>
                <w:ilvl w:val="1"/>
                <w:numId w:val="19"/>
              </w:numPr>
              <w:autoSpaceDE/>
              <w:autoSpaceDN/>
              <w:spacing w:before="0" w:line="240" w:lineRule="auto"/>
              <w:rPr>
                <w:sz w:val="24"/>
                <w:szCs w:val="24"/>
              </w:rPr>
            </w:pPr>
            <w:r w:rsidRPr="003733D5">
              <w:rPr>
                <w:sz w:val="24"/>
                <w:szCs w:val="24"/>
              </w:rPr>
              <w:t xml:space="preserve">The MnCHOICES Help Desk will repair the issue in the legacy system so your historical records will load to the revised MnCHOICES.  </w:t>
            </w:r>
          </w:p>
          <w:p w14:paraId="7E1E390D" w14:textId="77777777" w:rsidR="001A4308" w:rsidRPr="003733D5" w:rsidRDefault="001A4308" w:rsidP="001A4308">
            <w:pPr>
              <w:pStyle w:val="ListParagraph"/>
              <w:spacing w:line="264" w:lineRule="auto"/>
              <w:rPr>
                <w:rFonts w:eastAsiaTheme="minorHAnsi"/>
                <w:sz w:val="24"/>
                <w:szCs w:val="24"/>
              </w:rPr>
            </w:pPr>
          </w:p>
          <w:p w14:paraId="687FB629" w14:textId="08F33147" w:rsidR="001A4308" w:rsidRPr="003733D5" w:rsidRDefault="00296452" w:rsidP="001A4308">
            <w:pPr>
              <w:pStyle w:val="ListParagraph"/>
              <w:widowControl/>
              <w:numPr>
                <w:ilvl w:val="0"/>
                <w:numId w:val="18"/>
              </w:numPr>
              <w:autoSpaceDE/>
              <w:autoSpaceDN/>
              <w:spacing w:before="0" w:line="264" w:lineRule="auto"/>
              <w:rPr>
                <w:rFonts w:eastAsia="Times New Roman"/>
                <w:b/>
                <w:bCs/>
                <w:sz w:val="24"/>
                <w:szCs w:val="24"/>
              </w:rPr>
            </w:pPr>
            <w:r>
              <w:rPr>
                <w:b/>
                <w:bCs/>
                <w:sz w:val="24"/>
                <w:szCs w:val="24"/>
              </w:rPr>
              <w:t xml:space="preserve">Option for manually attaching instead of </w:t>
            </w:r>
            <w:r w:rsidR="005D692B">
              <w:rPr>
                <w:b/>
                <w:bCs/>
                <w:sz w:val="24"/>
                <w:szCs w:val="24"/>
              </w:rPr>
              <w:t xml:space="preserve">submitting </w:t>
            </w:r>
            <w:r>
              <w:rPr>
                <w:b/>
                <w:bCs/>
                <w:sz w:val="24"/>
                <w:szCs w:val="24"/>
              </w:rPr>
              <w:t xml:space="preserve">a help desk ticket if </w:t>
            </w:r>
            <w:r w:rsidR="001A4308" w:rsidRPr="003733D5">
              <w:rPr>
                <w:b/>
                <w:bCs/>
                <w:sz w:val="24"/>
                <w:szCs w:val="24"/>
              </w:rPr>
              <w:t xml:space="preserve">your agency has a small list of records where the SW Index does not match: </w:t>
            </w:r>
          </w:p>
          <w:p w14:paraId="067C2847" w14:textId="77777777" w:rsidR="001A4308" w:rsidRPr="003733D5" w:rsidRDefault="001A4308" w:rsidP="001A4308">
            <w:pPr>
              <w:pStyle w:val="ListParagraph"/>
              <w:widowControl/>
              <w:numPr>
                <w:ilvl w:val="0"/>
                <w:numId w:val="20"/>
              </w:numPr>
              <w:autoSpaceDE/>
              <w:autoSpaceDN/>
              <w:spacing w:before="0" w:line="264" w:lineRule="auto"/>
              <w:rPr>
                <w:sz w:val="24"/>
                <w:szCs w:val="24"/>
              </w:rPr>
            </w:pPr>
            <w:r w:rsidRPr="003733D5">
              <w:rPr>
                <w:sz w:val="24"/>
                <w:szCs w:val="24"/>
              </w:rPr>
              <w:t xml:space="preserve">Go into the legacy application and use the print option to save the form as a pdf. </w:t>
            </w:r>
          </w:p>
          <w:p w14:paraId="6421D60D" w14:textId="77777777" w:rsidR="001A4308" w:rsidRPr="003733D5" w:rsidRDefault="001A4308" w:rsidP="001A4308">
            <w:pPr>
              <w:pStyle w:val="ListParagraph"/>
              <w:widowControl/>
              <w:numPr>
                <w:ilvl w:val="0"/>
                <w:numId w:val="20"/>
              </w:numPr>
              <w:autoSpaceDE/>
              <w:autoSpaceDN/>
              <w:spacing w:before="0" w:line="264" w:lineRule="auto"/>
              <w:rPr>
                <w:sz w:val="24"/>
                <w:szCs w:val="24"/>
              </w:rPr>
            </w:pPr>
            <w:r w:rsidRPr="003733D5">
              <w:rPr>
                <w:sz w:val="24"/>
                <w:szCs w:val="24"/>
              </w:rPr>
              <w:t xml:space="preserve">Attach the forms in the person record attachments following the naming convention in the Smart Guide: Adding a person and select the attachment Category “Plans &amp; Reports”. </w:t>
            </w:r>
          </w:p>
          <w:p w14:paraId="011D9BA6" w14:textId="77777777" w:rsidR="001A4308" w:rsidRPr="003733D5" w:rsidRDefault="001A4308" w:rsidP="001A4308">
            <w:pPr>
              <w:pStyle w:val="ListParagraph"/>
              <w:widowControl/>
              <w:numPr>
                <w:ilvl w:val="0"/>
                <w:numId w:val="20"/>
              </w:numPr>
              <w:autoSpaceDE/>
              <w:autoSpaceDN/>
              <w:spacing w:before="200" w:line="264" w:lineRule="auto"/>
              <w:contextualSpacing/>
              <w:rPr>
                <w:sz w:val="24"/>
                <w:szCs w:val="24"/>
              </w:rPr>
            </w:pPr>
            <w:r w:rsidRPr="003733D5">
              <w:rPr>
                <w:sz w:val="24"/>
                <w:szCs w:val="24"/>
              </w:rPr>
              <w:t>Though your agency may retain records in other systems, historical records attached in a person’s record are useful for agencies who may work with the person in the future.</w:t>
            </w:r>
          </w:p>
          <w:p w14:paraId="67E8EA7F" w14:textId="50215A55" w:rsidR="001A4308" w:rsidRPr="003733D5" w:rsidRDefault="001A4308" w:rsidP="001A4308">
            <w:pPr>
              <w:pStyle w:val="Heading3"/>
              <w:rPr>
                <w:rFonts w:ascii="Calibri" w:hAnsi="Calibri" w:cs="Calibri"/>
                <w:color w:val="0070C0"/>
                <w:sz w:val="24"/>
                <w:szCs w:val="24"/>
              </w:rPr>
            </w:pPr>
            <w:r w:rsidRPr="003733D5">
              <w:rPr>
                <w:rFonts w:ascii="Calibri" w:hAnsi="Calibri" w:cs="Calibri"/>
                <w:color w:val="0070C0"/>
                <w:sz w:val="24"/>
                <w:szCs w:val="24"/>
              </w:rPr>
              <w:t>Commonly asked questions</w:t>
            </w:r>
            <w:r w:rsidR="003733D5" w:rsidRPr="003733D5">
              <w:rPr>
                <w:rFonts w:ascii="Calibri" w:hAnsi="Calibri" w:cs="Calibri"/>
                <w:color w:val="0070C0"/>
                <w:sz w:val="24"/>
                <w:szCs w:val="24"/>
              </w:rPr>
              <w:t>:</w:t>
            </w:r>
          </w:p>
          <w:p w14:paraId="6D78F702" w14:textId="77777777" w:rsidR="001A4308" w:rsidRPr="003733D5" w:rsidRDefault="001A4308" w:rsidP="001A4308">
            <w:pPr>
              <w:spacing w:before="240"/>
              <w:rPr>
                <w:rFonts w:ascii="Calibri" w:hAnsi="Calibri" w:cs="Calibri"/>
                <w:b/>
                <w:bCs/>
                <w:sz w:val="24"/>
                <w:szCs w:val="24"/>
              </w:rPr>
            </w:pPr>
            <w:r w:rsidRPr="003733D5">
              <w:rPr>
                <w:b/>
                <w:bCs/>
                <w:sz w:val="24"/>
                <w:szCs w:val="24"/>
              </w:rPr>
              <w:t>Question 1: How do we load a person into the revised MnCHOICES application?</w:t>
            </w:r>
          </w:p>
          <w:p w14:paraId="6A148E1A" w14:textId="77777777" w:rsidR="0043358D" w:rsidRDefault="0043358D" w:rsidP="001A4308">
            <w:pPr>
              <w:ind w:left="720"/>
              <w:rPr>
                <w:b/>
                <w:bCs/>
                <w:sz w:val="24"/>
                <w:szCs w:val="24"/>
              </w:rPr>
            </w:pPr>
          </w:p>
          <w:p w14:paraId="54A8EA1B" w14:textId="21C6FE3F" w:rsidR="001A4308" w:rsidRPr="003733D5" w:rsidRDefault="001A4308" w:rsidP="001A4308">
            <w:pPr>
              <w:ind w:left="720"/>
              <w:rPr>
                <w:rStyle w:val="Heading3Char"/>
                <w:rFonts w:eastAsiaTheme="minorHAnsi"/>
                <w:sz w:val="24"/>
                <w:szCs w:val="24"/>
              </w:rPr>
            </w:pPr>
            <w:r w:rsidRPr="003733D5">
              <w:rPr>
                <w:b/>
                <w:bCs/>
                <w:sz w:val="24"/>
                <w:szCs w:val="24"/>
              </w:rPr>
              <w:t>Answer 1:</w:t>
            </w:r>
            <w:r w:rsidRPr="003733D5">
              <w:rPr>
                <w:sz w:val="24"/>
                <w:szCs w:val="24"/>
              </w:rPr>
              <w:t xml:space="preserve"> Go to the MnCHOICES Help Center and use the Smart Guide: Adding a person.  You will use the advanced search and if the person is not found add a person. You will complete the required fields in the New Person window. We prefer you include the PMI in the advanced search.  MnCHOICES will search first for duplicate record in MnCHOICES, then check MMIS. If the person exists in MMIS you can import the person record into MnCHOICES. If the record does not exist in the database the person will be added.</w:t>
            </w:r>
            <w:r w:rsidRPr="003733D5">
              <w:rPr>
                <w:color w:val="000000"/>
                <w:sz w:val="24"/>
                <w:szCs w:val="24"/>
              </w:rPr>
              <w:t> </w:t>
            </w:r>
          </w:p>
          <w:p w14:paraId="6F29FAAD" w14:textId="77777777" w:rsidR="001A4308" w:rsidRPr="003733D5" w:rsidRDefault="001A4308" w:rsidP="001A4308">
            <w:pPr>
              <w:spacing w:before="240"/>
              <w:rPr>
                <w:rFonts w:ascii="Calibri" w:hAnsi="Calibri" w:cs="Calibri"/>
                <w:b/>
                <w:bCs/>
                <w:sz w:val="24"/>
                <w:szCs w:val="24"/>
              </w:rPr>
            </w:pPr>
            <w:r w:rsidRPr="003733D5">
              <w:rPr>
                <w:b/>
                <w:bCs/>
                <w:sz w:val="24"/>
                <w:szCs w:val="24"/>
              </w:rPr>
              <w:t xml:space="preserve">Question 2: Do I need to add a deceased person to the revised MnCHOICES? </w:t>
            </w:r>
          </w:p>
          <w:p w14:paraId="3488AF32" w14:textId="77777777" w:rsidR="0043358D" w:rsidRDefault="0043358D" w:rsidP="001A4308">
            <w:pPr>
              <w:ind w:left="720"/>
              <w:rPr>
                <w:b/>
                <w:bCs/>
                <w:sz w:val="24"/>
                <w:szCs w:val="24"/>
              </w:rPr>
            </w:pPr>
          </w:p>
          <w:p w14:paraId="3882BC21" w14:textId="616681A6" w:rsidR="001A4308" w:rsidRPr="003733D5" w:rsidRDefault="001A4308" w:rsidP="001A4308">
            <w:pPr>
              <w:ind w:left="720"/>
              <w:rPr>
                <w:sz w:val="24"/>
                <w:szCs w:val="24"/>
              </w:rPr>
            </w:pPr>
            <w:r w:rsidRPr="003733D5">
              <w:rPr>
                <w:b/>
                <w:bCs/>
                <w:sz w:val="24"/>
                <w:szCs w:val="24"/>
              </w:rPr>
              <w:t>Answer 2:</w:t>
            </w:r>
            <w:r w:rsidRPr="003733D5">
              <w:rPr>
                <w:sz w:val="24"/>
                <w:szCs w:val="24"/>
              </w:rPr>
              <w:t xml:space="preserve"> No. Your agency will not be completing assessments or support plans for this person in the future.</w:t>
            </w:r>
          </w:p>
          <w:p w14:paraId="0A780C71" w14:textId="77777777" w:rsidR="001A4308" w:rsidRPr="003733D5" w:rsidRDefault="001A4308" w:rsidP="001A4308">
            <w:pPr>
              <w:spacing w:before="240"/>
              <w:rPr>
                <w:b/>
                <w:bCs/>
                <w:sz w:val="24"/>
                <w:szCs w:val="24"/>
              </w:rPr>
            </w:pPr>
            <w:r w:rsidRPr="003733D5">
              <w:rPr>
                <w:b/>
                <w:bCs/>
                <w:sz w:val="24"/>
                <w:szCs w:val="24"/>
              </w:rPr>
              <w:t>Question 3: We have an assessment that was not abandoned and does not have an assessor what do we do with it?</w:t>
            </w:r>
          </w:p>
          <w:p w14:paraId="3A820558" w14:textId="77777777" w:rsidR="001A4308" w:rsidRPr="003733D5" w:rsidRDefault="001A4308" w:rsidP="001A4308">
            <w:pPr>
              <w:ind w:left="720"/>
              <w:rPr>
                <w:sz w:val="24"/>
                <w:szCs w:val="24"/>
              </w:rPr>
            </w:pPr>
            <w:r w:rsidRPr="003733D5">
              <w:rPr>
                <w:b/>
                <w:bCs/>
                <w:sz w:val="24"/>
                <w:szCs w:val="24"/>
              </w:rPr>
              <w:t>Answer 3:</w:t>
            </w:r>
            <w:r w:rsidRPr="003733D5">
              <w:rPr>
                <w:sz w:val="24"/>
                <w:szCs w:val="24"/>
              </w:rPr>
              <w:t xml:space="preserve"> The reasons why you are doing this work is to have historical data in the revised MnCHOICES for future use. If the open assessment will be abandoned it won't come over to the MnCHOICES revision. It is okay to leave it and do nothing with it. The same is true for assessments that were never started. </w:t>
            </w:r>
          </w:p>
          <w:p w14:paraId="2913E6F3" w14:textId="77777777" w:rsidR="001A4308" w:rsidRPr="003733D5" w:rsidRDefault="001A4308" w:rsidP="001A4308">
            <w:pPr>
              <w:spacing w:before="240"/>
              <w:rPr>
                <w:b/>
                <w:bCs/>
                <w:sz w:val="24"/>
                <w:szCs w:val="24"/>
              </w:rPr>
            </w:pPr>
            <w:r w:rsidRPr="003733D5">
              <w:rPr>
                <w:b/>
                <w:bCs/>
                <w:sz w:val="24"/>
                <w:szCs w:val="24"/>
              </w:rPr>
              <w:lastRenderedPageBreak/>
              <w:t>Question 4: We have an assessment that is assigned to a former staff and can’t close it.</w:t>
            </w:r>
          </w:p>
          <w:p w14:paraId="0974F086" w14:textId="77777777" w:rsidR="003733D5" w:rsidRDefault="003733D5" w:rsidP="001A4308">
            <w:pPr>
              <w:ind w:left="720"/>
              <w:rPr>
                <w:b/>
                <w:bCs/>
                <w:sz w:val="24"/>
                <w:szCs w:val="24"/>
              </w:rPr>
            </w:pPr>
          </w:p>
          <w:p w14:paraId="7B8FB3EB" w14:textId="6D7DAD79" w:rsidR="001A4308" w:rsidRPr="005D692B" w:rsidRDefault="001A4308" w:rsidP="001A4308">
            <w:pPr>
              <w:ind w:left="720"/>
              <w:rPr>
                <w:rFonts w:cstheme="minorHAnsi"/>
                <w:sz w:val="24"/>
                <w:szCs w:val="24"/>
              </w:rPr>
            </w:pPr>
            <w:r w:rsidRPr="005D692B">
              <w:rPr>
                <w:rFonts w:cstheme="minorHAnsi"/>
                <w:b/>
                <w:bCs/>
                <w:sz w:val="24"/>
                <w:szCs w:val="24"/>
              </w:rPr>
              <w:t>Answer 4:</w:t>
            </w:r>
            <w:r w:rsidRPr="005D692B">
              <w:rPr>
                <w:rFonts w:cstheme="minorHAnsi"/>
                <w:sz w:val="24"/>
                <w:szCs w:val="24"/>
              </w:rPr>
              <w:t xml:space="preserve"> Submit a request to the help desk with the assessment ID(s) and the staff to reassign to.</w:t>
            </w:r>
          </w:p>
          <w:p w14:paraId="52F62EB0" w14:textId="77777777" w:rsidR="001A4308" w:rsidRPr="005D692B" w:rsidRDefault="001A4308" w:rsidP="001A4308">
            <w:pPr>
              <w:rPr>
                <w:rFonts w:cstheme="minorHAnsi"/>
                <w:sz w:val="24"/>
                <w:szCs w:val="24"/>
              </w:rPr>
            </w:pPr>
          </w:p>
          <w:p w14:paraId="4969FA91" w14:textId="77777777" w:rsidR="001A4308" w:rsidRPr="005D692B" w:rsidRDefault="001A4308" w:rsidP="003733D5">
            <w:pPr>
              <w:rPr>
                <w:rFonts w:cstheme="minorHAnsi"/>
                <w:sz w:val="24"/>
                <w:szCs w:val="24"/>
              </w:rPr>
            </w:pPr>
            <w:r w:rsidRPr="005D692B">
              <w:rPr>
                <w:rFonts w:cstheme="minorHAnsi"/>
                <w:b/>
                <w:bCs/>
                <w:sz w:val="24"/>
                <w:szCs w:val="24"/>
              </w:rPr>
              <w:t>Question 5:</w:t>
            </w:r>
            <w:r w:rsidRPr="005D692B">
              <w:rPr>
                <w:rFonts w:cstheme="minorHAnsi"/>
                <w:sz w:val="24"/>
                <w:szCs w:val="24"/>
              </w:rPr>
              <w:t xml:space="preserve"> We have an assessment that won’t open. Error message: “</w:t>
            </w:r>
            <w:r w:rsidRPr="005D692B">
              <w:rPr>
                <w:rFonts w:cstheme="minorHAnsi"/>
                <w:i/>
                <w:iCs/>
                <w:sz w:val="24"/>
                <w:szCs w:val="24"/>
              </w:rPr>
              <w:t>Document cannot be viewed because there is no Assessment Date. Go to Assessment Queue to add Assessment Date</w:t>
            </w:r>
            <w:r w:rsidRPr="005D692B">
              <w:rPr>
                <w:rFonts w:cstheme="minorHAnsi"/>
                <w:sz w:val="24"/>
                <w:szCs w:val="24"/>
              </w:rPr>
              <w:t>”.</w:t>
            </w:r>
          </w:p>
          <w:p w14:paraId="01BE6459" w14:textId="77777777" w:rsidR="001A4308" w:rsidRPr="005D692B" w:rsidRDefault="001A4308" w:rsidP="003733D5">
            <w:pPr>
              <w:pStyle w:val="ListParagraph"/>
              <w:spacing w:line="240" w:lineRule="auto"/>
              <w:ind w:left="720"/>
              <w:rPr>
                <w:rFonts w:cstheme="minorHAnsi"/>
                <w:sz w:val="24"/>
                <w:szCs w:val="24"/>
              </w:rPr>
            </w:pPr>
            <w:r w:rsidRPr="005D692B">
              <w:rPr>
                <w:rFonts w:cstheme="minorHAnsi"/>
                <w:b/>
                <w:bCs/>
                <w:sz w:val="24"/>
                <w:szCs w:val="24"/>
              </w:rPr>
              <w:t>Answer 5:</w:t>
            </w:r>
            <w:r w:rsidRPr="005D692B">
              <w:rPr>
                <w:rFonts w:cstheme="minorHAnsi"/>
                <w:sz w:val="24"/>
                <w:szCs w:val="24"/>
              </w:rPr>
              <w:t xml:space="preserve"> The assessment was not started so it can be left as is. It does not need to be loaded as a pdf to the revised MnCHOICES application. </w:t>
            </w:r>
          </w:p>
          <w:p w14:paraId="001C4B61" w14:textId="77777777" w:rsidR="001A4308" w:rsidRPr="005D692B" w:rsidRDefault="001A4308" w:rsidP="001A4308">
            <w:pPr>
              <w:spacing w:after="240"/>
              <w:rPr>
                <w:rStyle w:val="Heading2Char"/>
                <w:rFonts w:asciiTheme="minorHAnsi" w:hAnsiTheme="minorHAnsi" w:cstheme="minorHAnsi"/>
                <w:sz w:val="24"/>
                <w:szCs w:val="24"/>
              </w:rPr>
            </w:pPr>
          </w:p>
          <w:p w14:paraId="58847FB0" w14:textId="77777777" w:rsidR="001A4308" w:rsidRPr="005D692B" w:rsidRDefault="001A4308" w:rsidP="001A4308">
            <w:pPr>
              <w:spacing w:after="240"/>
              <w:rPr>
                <w:rFonts w:cstheme="minorHAnsi"/>
                <w:sz w:val="24"/>
                <w:szCs w:val="24"/>
              </w:rPr>
            </w:pPr>
            <w:r w:rsidRPr="005D692B">
              <w:rPr>
                <w:rStyle w:val="Heading2Char"/>
                <w:rFonts w:asciiTheme="minorHAnsi" w:hAnsiTheme="minorHAnsi" w:cstheme="minorHAnsi"/>
                <w:b/>
                <w:bCs/>
                <w:color w:val="0070C0"/>
                <w:sz w:val="24"/>
                <w:szCs w:val="24"/>
              </w:rPr>
              <w:t>Questions:</w:t>
            </w:r>
            <w:r w:rsidRPr="005D692B">
              <w:rPr>
                <w:rFonts w:cstheme="minorHAnsi"/>
                <w:b/>
                <w:bCs/>
                <w:color w:val="1F3864"/>
                <w:sz w:val="24"/>
                <w:szCs w:val="24"/>
              </w:rPr>
              <w:br/>
            </w:r>
            <w:r w:rsidRPr="005D692B">
              <w:rPr>
                <w:rFonts w:cstheme="minorHAnsi"/>
                <w:sz w:val="24"/>
                <w:szCs w:val="24"/>
              </w:rPr>
              <w:t xml:space="preserve">MnCHOICES mentors use the </w:t>
            </w:r>
            <w:hyperlink r:id="rId13" w:history="1">
              <w:r w:rsidRPr="005D692B">
                <w:rPr>
                  <w:rStyle w:val="Hyperlink"/>
                  <w:rFonts w:cstheme="minorHAnsi"/>
                  <w:sz w:val="24"/>
                  <w:szCs w:val="24"/>
                </w:rPr>
                <w:t>MnCHOICES Help Desk Contact Form, DHS-6979</w:t>
              </w:r>
            </w:hyperlink>
            <w:r w:rsidRPr="005D692B">
              <w:rPr>
                <w:rFonts w:cstheme="minorHAnsi"/>
                <w:sz w:val="24"/>
                <w:szCs w:val="24"/>
              </w:rPr>
              <w:t xml:space="preserve"> to submit their agency’s questions or concerns. </w:t>
            </w:r>
          </w:p>
          <w:p w14:paraId="6E235D4B" w14:textId="77777777" w:rsidR="001A4308" w:rsidRPr="003733D5" w:rsidRDefault="001A4308" w:rsidP="001A4308">
            <w:pPr>
              <w:rPr>
                <w:sz w:val="24"/>
                <w:szCs w:val="24"/>
              </w:rPr>
            </w:pPr>
          </w:p>
          <w:p w14:paraId="4588A7B1" w14:textId="77777777" w:rsidR="00CA04A0" w:rsidRPr="003733D5" w:rsidRDefault="00CA04A0" w:rsidP="00CA04A0">
            <w:pPr>
              <w:rPr>
                <w:sz w:val="24"/>
                <w:szCs w:val="24"/>
              </w:rPr>
            </w:pPr>
          </w:p>
          <w:p w14:paraId="26961A6D" w14:textId="77777777" w:rsidR="00CA04A0" w:rsidRPr="003733D5" w:rsidRDefault="00CA04A0" w:rsidP="00CA04A0">
            <w:pPr>
              <w:rPr>
                <w:sz w:val="24"/>
                <w:szCs w:val="24"/>
              </w:rPr>
            </w:pPr>
          </w:p>
          <w:p w14:paraId="67809B5E" w14:textId="77777777" w:rsidR="00CA04A0" w:rsidRPr="003733D5" w:rsidRDefault="00CA04A0" w:rsidP="00CA04A0">
            <w:pPr>
              <w:rPr>
                <w:sz w:val="24"/>
                <w:szCs w:val="24"/>
              </w:rPr>
            </w:pPr>
          </w:p>
          <w:p w14:paraId="4BD541D6" w14:textId="77777777" w:rsidR="00CA04A0" w:rsidRPr="003733D5" w:rsidRDefault="00CA04A0" w:rsidP="00CA04A0">
            <w:pPr>
              <w:rPr>
                <w:sz w:val="24"/>
                <w:szCs w:val="24"/>
              </w:rPr>
            </w:pPr>
          </w:p>
          <w:p w14:paraId="4F4B7CAB" w14:textId="77777777" w:rsidR="00CA04A0" w:rsidRPr="003733D5" w:rsidRDefault="00CA04A0" w:rsidP="00CA04A0">
            <w:pPr>
              <w:rPr>
                <w:sz w:val="24"/>
                <w:szCs w:val="24"/>
              </w:rPr>
            </w:pPr>
          </w:p>
          <w:p w14:paraId="1DFA825E" w14:textId="77777777" w:rsidR="00CA04A0" w:rsidRPr="003733D5" w:rsidRDefault="00CA04A0" w:rsidP="00CA04A0">
            <w:pPr>
              <w:rPr>
                <w:sz w:val="24"/>
                <w:szCs w:val="24"/>
              </w:rPr>
            </w:pPr>
          </w:p>
          <w:p w14:paraId="2E680640" w14:textId="77777777" w:rsidR="00CA04A0" w:rsidRPr="003733D5" w:rsidRDefault="00CA04A0" w:rsidP="00CA04A0">
            <w:pPr>
              <w:rPr>
                <w:sz w:val="24"/>
                <w:szCs w:val="24"/>
              </w:rPr>
            </w:pPr>
          </w:p>
          <w:p w14:paraId="67C47E45" w14:textId="77777777" w:rsidR="00CA04A0" w:rsidRPr="003733D5" w:rsidRDefault="00CA04A0" w:rsidP="00CA04A0">
            <w:pPr>
              <w:rPr>
                <w:sz w:val="24"/>
                <w:szCs w:val="24"/>
              </w:rPr>
            </w:pPr>
          </w:p>
          <w:p w14:paraId="782CFFAB" w14:textId="77777777" w:rsidR="00CA04A0" w:rsidRPr="003733D5" w:rsidRDefault="00CA04A0" w:rsidP="00CA04A0">
            <w:pPr>
              <w:rPr>
                <w:sz w:val="24"/>
                <w:szCs w:val="24"/>
              </w:rPr>
            </w:pPr>
          </w:p>
          <w:p w14:paraId="715944D2" w14:textId="77777777" w:rsidR="00CA04A0" w:rsidRPr="003733D5" w:rsidRDefault="00CA04A0" w:rsidP="00CA04A0">
            <w:pPr>
              <w:rPr>
                <w:sz w:val="24"/>
                <w:szCs w:val="24"/>
              </w:rPr>
            </w:pPr>
          </w:p>
          <w:p w14:paraId="08B21651" w14:textId="77777777" w:rsidR="00CA04A0" w:rsidRPr="003733D5" w:rsidRDefault="00CA04A0" w:rsidP="00CA04A0">
            <w:pPr>
              <w:rPr>
                <w:sz w:val="24"/>
                <w:szCs w:val="24"/>
              </w:rPr>
            </w:pPr>
          </w:p>
          <w:p w14:paraId="330ED5CD" w14:textId="77777777" w:rsidR="00CA04A0" w:rsidRPr="003733D5" w:rsidRDefault="00CA04A0" w:rsidP="00CA04A0">
            <w:pPr>
              <w:rPr>
                <w:sz w:val="24"/>
                <w:szCs w:val="24"/>
              </w:rPr>
            </w:pPr>
          </w:p>
          <w:p w14:paraId="5B2CF209" w14:textId="77777777" w:rsidR="00CA04A0" w:rsidRPr="003733D5" w:rsidRDefault="00CA04A0" w:rsidP="00CA04A0">
            <w:pPr>
              <w:rPr>
                <w:sz w:val="24"/>
                <w:szCs w:val="24"/>
              </w:rPr>
            </w:pPr>
          </w:p>
          <w:p w14:paraId="5B40072C" w14:textId="77777777" w:rsidR="00CA04A0" w:rsidRPr="003733D5" w:rsidRDefault="00CA04A0" w:rsidP="00CA04A0">
            <w:pPr>
              <w:rPr>
                <w:sz w:val="24"/>
                <w:szCs w:val="24"/>
              </w:rPr>
            </w:pPr>
          </w:p>
        </w:tc>
      </w:tr>
    </w:tbl>
    <w:p w14:paraId="3544C243" w14:textId="5E87CDE4" w:rsidR="00CA04A0" w:rsidRPr="003733D5" w:rsidRDefault="00CA04A0">
      <w:pPr>
        <w:rPr>
          <w:sz w:val="24"/>
          <w:szCs w:val="24"/>
        </w:rPr>
      </w:pPr>
    </w:p>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0B2F0979" w14:textId="77777777" w:rsidR="00CA04A0" w:rsidRDefault="00CA04A0" w:rsidP="00D5294C"/>
    <w:p w14:paraId="44AC8187" w14:textId="77777777" w:rsidR="00CA04A0" w:rsidRDefault="00CA04A0" w:rsidP="00D5294C"/>
    <w:p w14:paraId="142F2F1E" w14:textId="77777777" w:rsidR="00BB1FFD" w:rsidRPr="00BB1FFD" w:rsidRDefault="00BB1FFD"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4"/>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0ACF6AC7" w:rsidR="00AF1D04" w:rsidRPr="00AF1D04" w:rsidRDefault="001A4308"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8-16-2024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0ACF6AC7" w:rsidR="00AF1D04" w:rsidRPr="00AF1D04" w:rsidRDefault="001A4308"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8-16-2024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27F7C"/>
    <w:multiLevelType w:val="hybridMultilevel"/>
    <w:tmpl w:val="A6881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8B3614"/>
    <w:multiLevelType w:val="hybridMultilevel"/>
    <w:tmpl w:val="20F83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A5A7C"/>
    <w:multiLevelType w:val="hybridMultilevel"/>
    <w:tmpl w:val="60AC4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B77E9"/>
    <w:multiLevelType w:val="hybridMultilevel"/>
    <w:tmpl w:val="D40A1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7"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A4285"/>
    <w:multiLevelType w:val="hybridMultilevel"/>
    <w:tmpl w:val="65F012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2"/>
  </w:num>
  <w:num w:numId="2" w16cid:durableId="1797331095">
    <w:abstractNumId w:val="7"/>
  </w:num>
  <w:num w:numId="3" w16cid:durableId="214856249">
    <w:abstractNumId w:val="10"/>
  </w:num>
  <w:num w:numId="4" w16cid:durableId="1499616861">
    <w:abstractNumId w:val="16"/>
  </w:num>
  <w:num w:numId="5" w16cid:durableId="2073769093">
    <w:abstractNumId w:val="0"/>
  </w:num>
  <w:num w:numId="6" w16cid:durableId="18362904">
    <w:abstractNumId w:val="19"/>
  </w:num>
  <w:num w:numId="7" w16cid:durableId="495341996">
    <w:abstractNumId w:val="20"/>
  </w:num>
  <w:num w:numId="8" w16cid:durableId="195433800">
    <w:abstractNumId w:val="1"/>
  </w:num>
  <w:num w:numId="9" w16cid:durableId="2131320421">
    <w:abstractNumId w:val="11"/>
  </w:num>
  <w:num w:numId="10" w16cid:durableId="292836173">
    <w:abstractNumId w:val="8"/>
  </w:num>
  <w:num w:numId="11" w16cid:durableId="590047722">
    <w:abstractNumId w:val="4"/>
  </w:num>
  <w:num w:numId="12" w16cid:durableId="1674527007">
    <w:abstractNumId w:val="6"/>
  </w:num>
  <w:num w:numId="13" w16cid:durableId="1073697651">
    <w:abstractNumId w:val="5"/>
  </w:num>
  <w:num w:numId="14" w16cid:durableId="1167403472">
    <w:abstractNumId w:val="14"/>
  </w:num>
  <w:num w:numId="15" w16cid:durableId="1282767395">
    <w:abstractNumId w:val="17"/>
  </w:num>
  <w:num w:numId="16" w16cid:durableId="974333673">
    <w:abstractNumId w:val="9"/>
  </w:num>
  <w:num w:numId="17" w16cid:durableId="1147017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1842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7986914">
    <w:abstractNumId w:val="3"/>
  </w:num>
  <w:num w:numId="20" w16cid:durableId="1238590799">
    <w:abstractNumId w:val="18"/>
  </w:num>
  <w:num w:numId="21" w16cid:durableId="1727147041">
    <w:abstractNumId w:val="2"/>
  </w:num>
  <w:num w:numId="22" w16cid:durableId="1960139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04E4C"/>
    <w:rsid w:val="000274AF"/>
    <w:rsid w:val="000C0E68"/>
    <w:rsid w:val="00150443"/>
    <w:rsid w:val="001A4308"/>
    <w:rsid w:val="00222CB4"/>
    <w:rsid w:val="00262D51"/>
    <w:rsid w:val="00287C94"/>
    <w:rsid w:val="00296452"/>
    <w:rsid w:val="002E4041"/>
    <w:rsid w:val="002E7252"/>
    <w:rsid w:val="003733D5"/>
    <w:rsid w:val="00381BDB"/>
    <w:rsid w:val="003C1F8E"/>
    <w:rsid w:val="004100C5"/>
    <w:rsid w:val="0043358D"/>
    <w:rsid w:val="004A74B5"/>
    <w:rsid w:val="004D30F0"/>
    <w:rsid w:val="005413CA"/>
    <w:rsid w:val="005C7FFC"/>
    <w:rsid w:val="005D692B"/>
    <w:rsid w:val="005E07CD"/>
    <w:rsid w:val="00605891"/>
    <w:rsid w:val="00661EAF"/>
    <w:rsid w:val="00667838"/>
    <w:rsid w:val="00690495"/>
    <w:rsid w:val="00696BE2"/>
    <w:rsid w:val="006B5D91"/>
    <w:rsid w:val="007808B0"/>
    <w:rsid w:val="007A5F11"/>
    <w:rsid w:val="0080562D"/>
    <w:rsid w:val="00871E9A"/>
    <w:rsid w:val="00887099"/>
    <w:rsid w:val="008877C2"/>
    <w:rsid w:val="00954AF8"/>
    <w:rsid w:val="00986E5D"/>
    <w:rsid w:val="009F57EB"/>
    <w:rsid w:val="00A12B57"/>
    <w:rsid w:val="00A16F35"/>
    <w:rsid w:val="00A24223"/>
    <w:rsid w:val="00AA1C20"/>
    <w:rsid w:val="00AB049B"/>
    <w:rsid w:val="00AD5757"/>
    <w:rsid w:val="00AF1D04"/>
    <w:rsid w:val="00BB1FFD"/>
    <w:rsid w:val="00BD6DF2"/>
    <w:rsid w:val="00C608E4"/>
    <w:rsid w:val="00C951B8"/>
    <w:rsid w:val="00CA04A0"/>
    <w:rsid w:val="00CA1E33"/>
    <w:rsid w:val="00CA2A1A"/>
    <w:rsid w:val="00CF49F1"/>
    <w:rsid w:val="00D5294C"/>
    <w:rsid w:val="00EC4AA6"/>
    <w:rsid w:val="00EF7F9F"/>
    <w:rsid w:val="00F157A9"/>
    <w:rsid w:val="00F36B5F"/>
    <w:rsid w:val="00F5483A"/>
    <w:rsid w:val="00F610EE"/>
    <w:rsid w:val="00FC5F7D"/>
    <w:rsid w:val="00FF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43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uiPriority w:val="9"/>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1A4308"/>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locked/>
    <w:rsid w:val="001A4308"/>
    <w:rPr>
      <w:rFonts w:eastAsia="Franklin Gothic Book" w:cs="Franklin Gothic Book"/>
      <w:color w:val="171717" w:themeColor="background2" w:themeShade="1A"/>
      <w:lang w:bidi="en-US"/>
    </w:rPr>
  </w:style>
  <w:style w:type="character" w:customStyle="1" w:styleId="cf01">
    <w:name w:val="cf01"/>
    <w:basedOn w:val="DefaultParagraphFont"/>
    <w:rsid w:val="001A4308"/>
    <w:rPr>
      <w:rFonts w:ascii="Segoe UI" w:hAnsi="Segoe UI" w:cs="Segoe UI" w:hint="default"/>
    </w:rPr>
  </w:style>
  <w:style w:type="paragraph" w:styleId="Revision">
    <w:name w:val="Revision"/>
    <w:hidden/>
    <w:uiPriority w:val="99"/>
    <w:semiHidden/>
    <w:rsid w:val="002E4041"/>
    <w:pPr>
      <w:spacing w:after="0" w:line="240" w:lineRule="auto"/>
    </w:pPr>
  </w:style>
  <w:style w:type="character" w:styleId="CommentReference">
    <w:name w:val="annotation reference"/>
    <w:basedOn w:val="DefaultParagraphFont"/>
    <w:uiPriority w:val="99"/>
    <w:semiHidden/>
    <w:unhideWhenUsed/>
    <w:rsid w:val="002E4041"/>
    <w:rPr>
      <w:sz w:val="16"/>
      <w:szCs w:val="16"/>
    </w:rPr>
  </w:style>
  <w:style w:type="paragraph" w:styleId="CommentText">
    <w:name w:val="annotation text"/>
    <w:basedOn w:val="Normal"/>
    <w:link w:val="CommentTextChar"/>
    <w:uiPriority w:val="99"/>
    <w:unhideWhenUsed/>
    <w:rsid w:val="002E4041"/>
    <w:pPr>
      <w:spacing w:line="240" w:lineRule="auto"/>
    </w:pPr>
    <w:rPr>
      <w:sz w:val="20"/>
      <w:szCs w:val="20"/>
    </w:rPr>
  </w:style>
  <w:style w:type="character" w:customStyle="1" w:styleId="CommentTextChar">
    <w:name w:val="Comment Text Char"/>
    <w:basedOn w:val="DefaultParagraphFont"/>
    <w:link w:val="CommentText"/>
    <w:uiPriority w:val="99"/>
    <w:rsid w:val="002E4041"/>
    <w:rPr>
      <w:sz w:val="20"/>
      <w:szCs w:val="20"/>
    </w:rPr>
  </w:style>
  <w:style w:type="paragraph" w:styleId="CommentSubject">
    <w:name w:val="annotation subject"/>
    <w:basedOn w:val="CommentText"/>
    <w:next w:val="CommentText"/>
    <w:link w:val="CommentSubjectChar"/>
    <w:uiPriority w:val="99"/>
    <w:semiHidden/>
    <w:unhideWhenUsed/>
    <w:rsid w:val="002E4041"/>
    <w:rPr>
      <w:b/>
      <w:bCs/>
    </w:rPr>
  </w:style>
  <w:style w:type="character" w:customStyle="1" w:styleId="CommentSubjectChar">
    <w:name w:val="Comment Subject Char"/>
    <w:basedOn w:val="CommentTextChar"/>
    <w:link w:val="CommentSubject"/>
    <w:uiPriority w:val="99"/>
    <w:semiHidden/>
    <w:rsid w:val="002E40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5933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5.jpg@01DAED61.399BBF90" TargetMode="External"/><Relationship Id="rId13" Type="http://schemas.openxmlformats.org/officeDocument/2006/relationships/hyperlink" Target="https://urldefense.com/v3/__https:/edocs.dhs.state.mn.us/lfserver/Public/DHS-6979-ENG__;!!CwIvYz4dIaSa!IMr5uIqXCxPrXwA1tiThI5M0nv9nWabQfKI14hpugrjcciCN6dbmtb1bI2ScYxHMztuy2dGI7anTV54dBVzZ0AZWriG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4.png@01DAED64.D71EE6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3.png@01DAED64.D71EE69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689</Words>
  <Characters>3931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Ness, Cate</cp:lastModifiedBy>
  <cp:revision>2</cp:revision>
  <cp:lastPrinted>2023-04-13T19:37:00Z</cp:lastPrinted>
  <dcterms:created xsi:type="dcterms:W3CDTF">2024-08-16T17:28:00Z</dcterms:created>
  <dcterms:modified xsi:type="dcterms:W3CDTF">2024-08-16T17:28:00Z</dcterms:modified>
</cp:coreProperties>
</file>