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856"/>
      </w:tblGrid>
      <w:tr w:rsidR="00CA04A0" w14:paraId="42600EA8" w14:textId="77777777" w:rsidTr="00F51FAD">
        <w:trPr>
          <w:trHeight w:val="9330"/>
        </w:trPr>
        <w:tc>
          <w:tcPr>
            <w:tcW w:w="11856" w:type="dxa"/>
          </w:tcPr>
          <w:p w14:paraId="7C2F7D2E" w14:textId="6B36BBF9" w:rsidR="00CA04A0" w:rsidRPr="00D80E8D" w:rsidRDefault="00BF2769" w:rsidP="00BF276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D63A6A" wp14:editId="0F1A4834">
                  <wp:extent cx="1266825" cy="958077"/>
                  <wp:effectExtent l="0" t="0" r="0" b="0"/>
                  <wp:docPr id="334658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581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436" cy="96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08E4"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B855F8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7162800" cy="433070"/>
                      <wp:effectExtent l="0" t="0" r="0" b="508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6429C179" w:rsidR="00C608E4" w:rsidRPr="00C608E4" w:rsidRDefault="007532E0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Revised </w:t>
                                  </w:r>
                                  <w:proofErr w:type="spellStart"/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MnCHOICES</w:t>
                                  </w:r>
                                  <w:proofErr w:type="spellEnd"/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pt;margin-top:.75pt;width:564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DIDQIAAPY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" stroked="f">
                      <v:textbox>
                        <w:txbxContent>
                          <w:p w14:paraId="1D4BA1CD" w14:textId="6429C179" w:rsidR="00C608E4" w:rsidRPr="00C608E4" w:rsidRDefault="007532E0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Revised </w:t>
                            </w:r>
                            <w:proofErr w:type="spellStart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MnCHOICES</w:t>
                            </w:r>
                            <w:proofErr w:type="spellEnd"/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4C028A" w14:textId="2F3928F0" w:rsidR="007532E0" w:rsidRPr="00D80E8D" w:rsidRDefault="00D80E8D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80E8D">
              <w:rPr>
                <w:b/>
                <w:bCs/>
                <w:color w:val="0070C0"/>
                <w:sz w:val="28"/>
                <w:szCs w:val="28"/>
              </w:rPr>
              <w:t xml:space="preserve">Phase 4 of the </w:t>
            </w:r>
            <w:proofErr w:type="spellStart"/>
            <w:r w:rsidRPr="00D80E8D">
              <w:rPr>
                <w:b/>
                <w:bCs/>
                <w:color w:val="0070C0"/>
                <w:sz w:val="28"/>
                <w:szCs w:val="28"/>
              </w:rPr>
              <w:t>MnCHOICES</w:t>
            </w:r>
            <w:proofErr w:type="spellEnd"/>
            <w:r w:rsidRPr="00D80E8D">
              <w:rPr>
                <w:b/>
                <w:bCs/>
                <w:color w:val="0070C0"/>
                <w:sz w:val="28"/>
                <w:szCs w:val="28"/>
              </w:rPr>
              <w:t xml:space="preserve"> revision launch began on July 1, 2024</w:t>
            </w:r>
          </w:p>
          <w:p w14:paraId="08DBF93D" w14:textId="34C1EB62" w:rsidR="007532E0" w:rsidRPr="00D80E8D" w:rsidRDefault="00D80E8D" w:rsidP="00CA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assessments must now be completed in the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application. If you have any questions, please </w:t>
            </w:r>
            <w:r w:rsidR="0026170A">
              <w:rPr>
                <w:sz w:val="24"/>
                <w:szCs w:val="24"/>
              </w:rPr>
              <w:t>consult</w:t>
            </w:r>
            <w:r>
              <w:rPr>
                <w:sz w:val="24"/>
                <w:szCs w:val="24"/>
              </w:rPr>
              <w:t xml:space="preserve"> your Partner Relations Consultant.</w:t>
            </w:r>
          </w:p>
          <w:p w14:paraId="557DD8DF" w14:textId="77777777" w:rsidR="007532E0" w:rsidRDefault="007532E0" w:rsidP="00CA04A0">
            <w:pPr>
              <w:rPr>
                <w:color w:val="0070C0"/>
                <w:sz w:val="28"/>
                <w:szCs w:val="28"/>
              </w:rPr>
            </w:pPr>
          </w:p>
          <w:p w14:paraId="0D9957FC" w14:textId="691D9B7E" w:rsidR="007532E0" w:rsidRPr="00D80E8D" w:rsidRDefault="00345F2E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Important reminder: </w:t>
            </w:r>
            <w:r w:rsidR="007532E0" w:rsidRPr="00D80E8D">
              <w:rPr>
                <w:b/>
                <w:bCs/>
                <w:color w:val="0070C0"/>
                <w:sz w:val="28"/>
                <w:szCs w:val="28"/>
              </w:rPr>
              <w:t>Bridgeview entries after 7/1/2024</w:t>
            </w:r>
          </w:p>
          <w:p w14:paraId="32EE02B1" w14:textId="49ED5B04" w:rsidR="00D80E8D" w:rsidRDefault="00D80E8D" w:rsidP="00CA04A0">
            <w:pPr>
              <w:rPr>
                <w:sz w:val="24"/>
                <w:szCs w:val="24"/>
              </w:rPr>
            </w:pPr>
            <w:r w:rsidRPr="00D80E8D">
              <w:rPr>
                <w:sz w:val="24"/>
                <w:szCs w:val="24"/>
              </w:rPr>
              <w:t xml:space="preserve">All </w:t>
            </w:r>
            <w:r w:rsidRPr="00D02D8A">
              <w:rPr>
                <w:b/>
                <w:bCs/>
                <w:sz w:val="24"/>
                <w:szCs w:val="24"/>
                <w:u w:val="single"/>
              </w:rPr>
              <w:t xml:space="preserve">community </w:t>
            </w:r>
            <w:r w:rsidRPr="00D80E8D">
              <w:rPr>
                <w:sz w:val="24"/>
                <w:szCs w:val="24"/>
              </w:rPr>
              <w:t xml:space="preserve">assessments must be completed in the </w:t>
            </w:r>
            <w:proofErr w:type="spellStart"/>
            <w:r w:rsidRPr="00D80E8D">
              <w:rPr>
                <w:sz w:val="24"/>
                <w:szCs w:val="24"/>
              </w:rPr>
              <w:t>MnCHOICES</w:t>
            </w:r>
            <w:proofErr w:type="spellEnd"/>
            <w:r w:rsidRPr="00D80E8D">
              <w:rPr>
                <w:sz w:val="24"/>
                <w:szCs w:val="24"/>
              </w:rPr>
              <w:t xml:space="preserve"> application effective 7/1/2024.  If a user attempts to enter LTCC or 3428H with an assessment date of 7/1/2024 or later, an error message will display, and the entry will not be saved.</w:t>
            </w:r>
            <w:r w:rsidR="00BF2769">
              <w:rPr>
                <w:sz w:val="24"/>
                <w:szCs w:val="24"/>
              </w:rPr>
              <w:t xml:space="preserve"> The Delegate must contact their PR Consultant with rationale as to why the assessment was not completed in </w:t>
            </w:r>
            <w:proofErr w:type="spellStart"/>
            <w:r w:rsidR="00BF2769">
              <w:rPr>
                <w:sz w:val="24"/>
                <w:szCs w:val="24"/>
              </w:rPr>
              <w:t>MnCHOICES</w:t>
            </w:r>
            <w:proofErr w:type="spellEnd"/>
            <w:r w:rsidR="00BF2769">
              <w:rPr>
                <w:sz w:val="24"/>
                <w:szCs w:val="24"/>
              </w:rPr>
              <w:t xml:space="preserve"> so the PR Consultant can review and enter the assessment into Bridgeview. </w:t>
            </w:r>
            <w:r w:rsidRPr="00D80E8D">
              <w:rPr>
                <w:sz w:val="24"/>
                <w:szCs w:val="24"/>
              </w:rPr>
              <w:t xml:space="preserve">  </w:t>
            </w:r>
          </w:p>
          <w:p w14:paraId="266B1268" w14:textId="77777777" w:rsidR="00BF2769" w:rsidRPr="00D80E8D" w:rsidRDefault="00BF2769" w:rsidP="00CA04A0">
            <w:pPr>
              <w:rPr>
                <w:sz w:val="28"/>
                <w:szCs w:val="28"/>
              </w:rPr>
            </w:pPr>
          </w:p>
          <w:p w14:paraId="7CB620DF" w14:textId="34719F9F" w:rsidR="00D80E8D" w:rsidRDefault="00D80E8D" w:rsidP="00BF276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056537" wp14:editId="70C8D293">
                  <wp:extent cx="5715000" cy="2089277"/>
                  <wp:effectExtent l="57150" t="19050" r="57150" b="101600"/>
                  <wp:docPr id="28247856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09"/>
                          <a:stretch/>
                        </pic:blipFill>
                        <pic:spPr bwMode="auto">
                          <a:xfrm>
                            <a:off x="0" y="0"/>
                            <a:ext cx="5768409" cy="210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5CD90C" w14:textId="77777777" w:rsidR="0026170A" w:rsidRDefault="0026170A" w:rsidP="0026170A">
            <w:pPr>
              <w:rPr>
                <w:sz w:val="24"/>
                <w:szCs w:val="24"/>
              </w:rPr>
            </w:pPr>
          </w:p>
          <w:p w14:paraId="456B5756" w14:textId="533B5478" w:rsidR="00764962" w:rsidRPr="00764962" w:rsidRDefault="00764962" w:rsidP="002617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64962">
              <w:rPr>
                <w:b/>
                <w:bCs/>
                <w:color w:val="0070C0"/>
                <w:sz w:val="24"/>
                <w:szCs w:val="24"/>
              </w:rPr>
              <w:t>Transitional HRA entries:</w:t>
            </w:r>
          </w:p>
          <w:p w14:paraId="38CBE10D" w14:textId="0D10E06F" w:rsidR="00764962" w:rsidRPr="00764962" w:rsidRDefault="00764962" w:rsidP="00261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completing a THRA using an assessment not in the Revised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application, Care Coordinators should still choose </w:t>
            </w:r>
            <w:r w:rsidRPr="00764962">
              <w:rPr>
                <w:b/>
                <w:bCs/>
                <w:sz w:val="24"/>
                <w:szCs w:val="24"/>
              </w:rPr>
              <w:t>“Yes”</w:t>
            </w:r>
            <w:r>
              <w:rPr>
                <w:sz w:val="24"/>
                <w:szCs w:val="24"/>
              </w:rPr>
              <w:t xml:space="preserve"> as </w:t>
            </w:r>
            <w:r w:rsidRPr="00764962">
              <w:rPr>
                <w:b/>
                <w:bCs/>
                <w:sz w:val="24"/>
                <w:szCs w:val="24"/>
              </w:rPr>
              <w:t xml:space="preserve">Completed in R </w:t>
            </w:r>
            <w:proofErr w:type="spellStart"/>
            <w:r w:rsidRPr="00764962">
              <w:rPr>
                <w:b/>
                <w:bCs/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when </w:t>
            </w:r>
            <w:proofErr w:type="gramStart"/>
            <w:r>
              <w:rPr>
                <w:sz w:val="24"/>
                <w:szCs w:val="24"/>
              </w:rPr>
              <w:t>entering into</w:t>
            </w:r>
            <w:proofErr w:type="gramEnd"/>
            <w:r>
              <w:rPr>
                <w:sz w:val="24"/>
                <w:szCs w:val="24"/>
              </w:rPr>
              <w:t xml:space="preserve"> Bridgeview as long as you have entered the THRA information into R-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and uploaded the THRA with a copy of the assessment used into attachments. This will bypass the Consultation required with Partner Relation Consultant edit. </w:t>
            </w:r>
          </w:p>
          <w:p w14:paraId="6D142528" w14:textId="77777777" w:rsidR="00764962" w:rsidRDefault="00764962" w:rsidP="0026170A">
            <w:pPr>
              <w:rPr>
                <w:sz w:val="24"/>
                <w:szCs w:val="24"/>
              </w:rPr>
            </w:pPr>
          </w:p>
          <w:p w14:paraId="5CF769BE" w14:textId="77777777" w:rsidR="00764962" w:rsidRDefault="00764962" w:rsidP="0026170A">
            <w:pPr>
              <w:rPr>
                <w:sz w:val="24"/>
                <w:szCs w:val="24"/>
              </w:rPr>
            </w:pPr>
          </w:p>
          <w:p w14:paraId="19FAC143" w14:textId="77777777" w:rsidR="00764962" w:rsidRDefault="00764962" w:rsidP="0026170A">
            <w:pPr>
              <w:rPr>
                <w:sz w:val="24"/>
                <w:szCs w:val="24"/>
              </w:rPr>
            </w:pPr>
          </w:p>
          <w:p w14:paraId="5776BA1F" w14:textId="4658C6F1" w:rsidR="00764962" w:rsidRDefault="00764962" w:rsidP="0076496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4ED93F" wp14:editId="03F13CCD">
                  <wp:extent cx="3988005" cy="2089257"/>
                  <wp:effectExtent l="0" t="0" r="0" b="6350"/>
                  <wp:docPr id="374954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5431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005" cy="208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9633861" wp14:editId="304B4419">
                  <wp:extent cx="2979496" cy="2820838"/>
                  <wp:effectExtent l="0" t="0" r="0" b="0"/>
                  <wp:docPr id="19984197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579" cy="282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9711B" w14:textId="77777777" w:rsidR="0026170A" w:rsidRDefault="0026170A" w:rsidP="0026170A">
            <w:pPr>
              <w:rPr>
                <w:sz w:val="24"/>
                <w:szCs w:val="24"/>
              </w:rPr>
            </w:pPr>
          </w:p>
          <w:p w14:paraId="3739ED46" w14:textId="77777777" w:rsidR="0026170A" w:rsidRDefault="0026170A" w:rsidP="00BF2769">
            <w:pPr>
              <w:jc w:val="center"/>
              <w:rPr>
                <w:sz w:val="24"/>
                <w:szCs w:val="24"/>
              </w:rPr>
            </w:pPr>
          </w:p>
          <w:p w14:paraId="1D1769E3" w14:textId="77777777" w:rsidR="00D80E8D" w:rsidRPr="00D80E8D" w:rsidRDefault="00D80E8D" w:rsidP="00CA04A0">
            <w:pPr>
              <w:rPr>
                <w:sz w:val="24"/>
                <w:szCs w:val="24"/>
              </w:rPr>
            </w:pPr>
          </w:p>
          <w:p w14:paraId="46ACA691" w14:textId="0F508D9F" w:rsidR="007532E0" w:rsidRPr="00BF2769" w:rsidRDefault="007532E0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F2769">
              <w:rPr>
                <w:b/>
                <w:bCs/>
                <w:color w:val="0070C0"/>
                <w:sz w:val="28"/>
                <w:szCs w:val="28"/>
              </w:rPr>
              <w:t xml:space="preserve">Mid-year Goal </w:t>
            </w:r>
            <w:r w:rsidR="00BF2769">
              <w:rPr>
                <w:b/>
                <w:bCs/>
                <w:color w:val="0070C0"/>
                <w:sz w:val="28"/>
                <w:szCs w:val="28"/>
              </w:rPr>
              <w:t xml:space="preserve">Review &amp; </w:t>
            </w:r>
            <w:r w:rsidRPr="00BF2769">
              <w:rPr>
                <w:b/>
                <w:bCs/>
                <w:color w:val="0070C0"/>
                <w:sz w:val="28"/>
                <w:szCs w:val="28"/>
              </w:rPr>
              <w:t>Updates</w:t>
            </w:r>
          </w:p>
          <w:p w14:paraId="4EA029A9" w14:textId="0A9D82D5" w:rsidR="007532E0" w:rsidRPr="00BF2769" w:rsidRDefault="00BF2769" w:rsidP="00CA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reminder, mid-year review of support plan goals</w:t>
            </w:r>
            <w:r w:rsidR="006F0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support plans completed in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1728D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be done in the application using the “Revised” functio</w:t>
            </w:r>
            <w:r w:rsidR="006F06F5">
              <w:rPr>
                <w:sz w:val="24"/>
                <w:szCs w:val="24"/>
              </w:rPr>
              <w:t xml:space="preserve">n. </w:t>
            </w:r>
            <w:r w:rsidR="0041728D">
              <w:rPr>
                <w:sz w:val="24"/>
                <w:szCs w:val="24"/>
              </w:rPr>
              <w:t xml:space="preserve"> Updates should be dated and entered under “Monitoring progress” as shown here: </w:t>
            </w:r>
          </w:p>
          <w:p w14:paraId="31A4D09F" w14:textId="77777777" w:rsidR="007532E0" w:rsidRDefault="007532E0" w:rsidP="00CA04A0">
            <w:pPr>
              <w:rPr>
                <w:color w:val="0070C0"/>
                <w:sz w:val="28"/>
                <w:szCs w:val="28"/>
              </w:rPr>
            </w:pPr>
          </w:p>
          <w:p w14:paraId="45CFD2B5" w14:textId="77777777" w:rsidR="0041728D" w:rsidRDefault="0041728D" w:rsidP="00CA04A0">
            <w:pPr>
              <w:rPr>
                <w:color w:val="0070C0"/>
                <w:sz w:val="28"/>
                <w:szCs w:val="28"/>
              </w:rPr>
            </w:pPr>
          </w:p>
          <w:p w14:paraId="55367FFC" w14:textId="206AF027" w:rsidR="0041728D" w:rsidRDefault="0041728D" w:rsidP="00CA04A0">
            <w:pPr>
              <w:rPr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8BD45F" wp14:editId="7632D7D0">
                  <wp:extent cx="7381973" cy="3853180"/>
                  <wp:effectExtent l="0" t="0" r="9525" b="0"/>
                  <wp:docPr id="2120617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172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120" cy="385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E4259" w14:textId="77777777" w:rsidR="007532E0" w:rsidRDefault="007532E0" w:rsidP="00CA04A0">
            <w:pPr>
              <w:rPr>
                <w:color w:val="0070C0"/>
                <w:sz w:val="28"/>
                <w:szCs w:val="28"/>
              </w:rPr>
            </w:pPr>
          </w:p>
          <w:p w14:paraId="03736E81" w14:textId="77777777" w:rsidR="007532E0" w:rsidRDefault="007532E0" w:rsidP="00CA04A0">
            <w:pPr>
              <w:rPr>
                <w:color w:val="0070C0"/>
                <w:sz w:val="28"/>
                <w:szCs w:val="28"/>
              </w:rPr>
            </w:pPr>
          </w:p>
          <w:p w14:paraId="37033527" w14:textId="77777777" w:rsidR="0041728D" w:rsidRDefault="0041728D" w:rsidP="00CA04A0">
            <w:pPr>
              <w:rPr>
                <w:color w:val="0070C0"/>
                <w:sz w:val="28"/>
                <w:szCs w:val="28"/>
              </w:rPr>
            </w:pPr>
          </w:p>
          <w:p w14:paraId="2D228A8E" w14:textId="77777777" w:rsidR="00846188" w:rsidRPr="00846188" w:rsidRDefault="007532E0" w:rsidP="00CA04A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846188">
              <w:rPr>
                <w:b/>
                <w:bCs/>
                <w:color w:val="0070C0"/>
                <w:sz w:val="28"/>
                <w:szCs w:val="28"/>
              </w:rPr>
              <w:t xml:space="preserve">Entry of Care Coordination </w:t>
            </w:r>
            <w:r w:rsidR="00846188" w:rsidRPr="00846188">
              <w:rPr>
                <w:b/>
                <w:bCs/>
                <w:color w:val="0070C0"/>
                <w:sz w:val="28"/>
                <w:szCs w:val="28"/>
              </w:rPr>
              <w:t>in the HRA Support Plan</w:t>
            </w:r>
          </w:p>
          <w:p w14:paraId="6DCB39DF" w14:textId="1AF53F12" w:rsidR="00846188" w:rsidRDefault="00846188" w:rsidP="00CA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Communique sent on 6/28/2024, we gave these instructions for entry of Care Coordination into </w:t>
            </w:r>
            <w:r w:rsidR="00061909">
              <w:rPr>
                <w:sz w:val="24"/>
                <w:szCs w:val="24"/>
              </w:rPr>
              <w:t>HRA-MCO Support Plan (for Community Well – not to include Elderly Waiver)</w:t>
            </w:r>
            <w:r w:rsidR="006D782D">
              <w:rPr>
                <w:sz w:val="24"/>
                <w:szCs w:val="24"/>
              </w:rPr>
              <w:t>:</w:t>
            </w:r>
          </w:p>
          <w:p w14:paraId="05F64BC7" w14:textId="1856E969" w:rsidR="006D782D" w:rsidRPr="00846188" w:rsidRDefault="006D782D" w:rsidP="006D782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452481" wp14:editId="2352FD8A">
                  <wp:extent cx="5886450" cy="581277"/>
                  <wp:effectExtent l="152400" t="152400" r="361950" b="371475"/>
                  <wp:docPr id="7737581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5816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644" cy="583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A75BB3" w14:textId="38982B0F" w:rsidR="00846188" w:rsidRDefault="006C06FE" w:rsidP="00CA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information DHS provided us does not work</w:t>
            </w:r>
            <w:r w:rsidR="00061909">
              <w:rPr>
                <w:sz w:val="24"/>
                <w:szCs w:val="24"/>
              </w:rPr>
              <w:t xml:space="preserve"> for</w:t>
            </w:r>
            <w:r>
              <w:rPr>
                <w:sz w:val="24"/>
                <w:szCs w:val="24"/>
              </w:rPr>
              <w:t xml:space="preserve"> </w:t>
            </w:r>
            <w:r w:rsidR="00061909">
              <w:rPr>
                <w:sz w:val="24"/>
                <w:szCs w:val="24"/>
              </w:rPr>
              <w:t>everyone;</w:t>
            </w:r>
            <w:r>
              <w:rPr>
                <w:sz w:val="24"/>
                <w:szCs w:val="24"/>
              </w:rPr>
              <w:t xml:space="preserve"> therefore</w:t>
            </w:r>
            <w:r w:rsidR="000619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we are </w:t>
            </w:r>
            <w:proofErr w:type="gramStart"/>
            <w:r>
              <w:rPr>
                <w:sz w:val="24"/>
                <w:szCs w:val="24"/>
              </w:rPr>
              <w:t>reverting back</w:t>
            </w:r>
            <w:proofErr w:type="gramEnd"/>
            <w:r>
              <w:rPr>
                <w:sz w:val="24"/>
                <w:szCs w:val="24"/>
              </w:rPr>
              <w:t xml:space="preserve"> to</w:t>
            </w:r>
            <w:r w:rsidR="00061909">
              <w:rPr>
                <w:sz w:val="24"/>
                <w:szCs w:val="24"/>
              </w:rPr>
              <w:t xml:space="preserve"> entry of </w:t>
            </w:r>
            <w:r w:rsidR="006D782D">
              <w:rPr>
                <w:sz w:val="24"/>
                <w:szCs w:val="24"/>
              </w:rPr>
              <w:t xml:space="preserve">Care Coordination </w:t>
            </w:r>
            <w:r w:rsidR="00061909">
              <w:rPr>
                <w:sz w:val="24"/>
                <w:szCs w:val="24"/>
              </w:rPr>
              <w:t xml:space="preserve">for Community Well in the HRA-MCO Support Plan to be entered </w:t>
            </w:r>
            <w:r w:rsidR="006D782D">
              <w:rPr>
                <w:sz w:val="24"/>
                <w:szCs w:val="24"/>
              </w:rPr>
              <w:t xml:space="preserve">under “People &amp; Community Organizations that Support Me”. </w:t>
            </w:r>
          </w:p>
          <w:p w14:paraId="03471D25" w14:textId="77777777" w:rsidR="006D782D" w:rsidRDefault="006D782D" w:rsidP="00CA04A0">
            <w:pPr>
              <w:rPr>
                <w:sz w:val="24"/>
                <w:szCs w:val="24"/>
              </w:rPr>
            </w:pPr>
          </w:p>
          <w:p w14:paraId="5B7FDCD7" w14:textId="67C24ABD" w:rsidR="006D782D" w:rsidRPr="006D782D" w:rsidRDefault="006D782D" w:rsidP="00CA0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BA15B2" wp14:editId="34DF1539">
                  <wp:extent cx="7391400" cy="792480"/>
                  <wp:effectExtent l="0" t="0" r="0" b="7620"/>
                  <wp:docPr id="126194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497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0764D" w14:textId="77777777" w:rsidR="0026170A" w:rsidRDefault="0026170A" w:rsidP="006D782D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10106C34" w14:textId="625471D4" w:rsidR="006D782D" w:rsidRPr="006D782D" w:rsidRDefault="007532E0" w:rsidP="006D782D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D782D">
              <w:rPr>
                <w:b/>
                <w:bCs/>
                <w:color w:val="0070C0"/>
                <w:sz w:val="28"/>
                <w:szCs w:val="28"/>
              </w:rPr>
              <w:t>Transitional HRA</w:t>
            </w:r>
            <w:r w:rsidR="004F4CB9">
              <w:rPr>
                <w:b/>
                <w:bCs/>
                <w:color w:val="0070C0"/>
                <w:sz w:val="28"/>
                <w:szCs w:val="28"/>
              </w:rPr>
              <w:t xml:space="preserve"> (THRA)</w:t>
            </w:r>
            <w:r w:rsidR="006D782D" w:rsidRPr="006D782D">
              <w:rPr>
                <w:b/>
                <w:bCs/>
                <w:color w:val="0070C0"/>
                <w:sz w:val="28"/>
                <w:szCs w:val="28"/>
              </w:rPr>
              <w:t xml:space="preserve">, Refusal &amp; UTR in </w:t>
            </w:r>
            <w:proofErr w:type="spellStart"/>
            <w:r w:rsidR="006D782D" w:rsidRPr="006D782D">
              <w:rPr>
                <w:b/>
                <w:bCs/>
                <w:color w:val="0070C0"/>
                <w:sz w:val="28"/>
                <w:szCs w:val="28"/>
              </w:rPr>
              <w:t>MnCHOICES</w:t>
            </w:r>
            <w:proofErr w:type="spellEnd"/>
          </w:p>
          <w:p w14:paraId="17FB7076" w14:textId="6D0523FB" w:rsidR="00BF2769" w:rsidRDefault="00D02D8A" w:rsidP="00CA0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THRA, Refusal, and UTR’s must be entered into the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application. In addition, Care Coordinators must attach the following for these HRA types:</w:t>
            </w:r>
          </w:p>
          <w:p w14:paraId="7C901B0B" w14:textId="7A383C60" w:rsidR="00D02D8A" w:rsidRDefault="00D02D8A" w:rsidP="00D02D8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D02D8A">
              <w:rPr>
                <w:b/>
                <w:bCs/>
                <w:sz w:val="24"/>
                <w:szCs w:val="24"/>
              </w:rPr>
              <w:t>Transitional HRA:</w:t>
            </w:r>
            <w:r>
              <w:rPr>
                <w:sz w:val="24"/>
                <w:szCs w:val="24"/>
              </w:rPr>
              <w:t xml:space="preserve"> attach into the application form 6.28 Transitional Health Risk Assessment (also attach the previous assessment used if not in 2.0 – 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1.0 assessment, LTCC, or 3428H)</w:t>
            </w:r>
          </w:p>
          <w:p w14:paraId="3F50D03E" w14:textId="3B1007ED" w:rsidR="00D02D8A" w:rsidRDefault="00D02D8A" w:rsidP="00D02D8A">
            <w:pPr>
              <w:pStyle w:val="ListParagraph"/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not received official guidance from DHS on use of the “Functional Needs Update” function in </w:t>
            </w:r>
            <w:proofErr w:type="spellStart"/>
            <w:r>
              <w:rPr>
                <w:sz w:val="24"/>
                <w:szCs w:val="24"/>
              </w:rPr>
              <w:t>MnCHOICES</w:t>
            </w:r>
            <w:proofErr w:type="spellEnd"/>
            <w:r>
              <w:rPr>
                <w:sz w:val="24"/>
                <w:szCs w:val="24"/>
              </w:rPr>
              <w:t xml:space="preserve"> yet. When the guidance is released, Blue Plus will review and send official instructions via Communique. Until then, please continue to utilize our Transitional HRA for new enrollees and product changes. </w:t>
            </w:r>
          </w:p>
          <w:p w14:paraId="1656FC1D" w14:textId="2DADE496" w:rsidR="00D02D8A" w:rsidRDefault="00D02D8A" w:rsidP="00D02D8A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D02D8A">
              <w:rPr>
                <w:b/>
                <w:bCs/>
                <w:sz w:val="24"/>
                <w:szCs w:val="24"/>
              </w:rPr>
              <w:t>Refusals:</w:t>
            </w:r>
            <w:r>
              <w:rPr>
                <w:sz w:val="24"/>
                <w:szCs w:val="24"/>
              </w:rPr>
              <w:t xml:space="preserve"> attach into the application Blue Plus’s “Refusal Member Support Plan Letter”</w:t>
            </w:r>
          </w:p>
          <w:p w14:paraId="5B40072C" w14:textId="0EB027B4" w:rsidR="002217DC" w:rsidRPr="00F51FAD" w:rsidRDefault="00D02D8A" w:rsidP="00F51FAD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D02D8A">
              <w:rPr>
                <w:b/>
                <w:bCs/>
                <w:sz w:val="24"/>
                <w:szCs w:val="24"/>
              </w:rPr>
              <w:t>Unable to Reach:</w:t>
            </w:r>
            <w:r>
              <w:rPr>
                <w:sz w:val="24"/>
                <w:szCs w:val="24"/>
              </w:rPr>
              <w:t xml:space="preserve"> attach into the application Blue Plus’s “UTR Member Support Plan Let</w:t>
            </w:r>
            <w:r w:rsidR="00420C66">
              <w:rPr>
                <w:sz w:val="24"/>
                <w:szCs w:val="24"/>
              </w:rPr>
              <w:t>ter”</w:t>
            </w:r>
          </w:p>
        </w:tc>
      </w:tr>
    </w:tbl>
    <w:p w14:paraId="3544C243" w14:textId="5E87CDE4" w:rsidR="00CA04A0" w:rsidRDefault="00CA04A0" w:rsidP="00F51FAD"/>
    <w:sectPr w:rsidR="00CA04A0" w:rsidSect="00696BE2">
      <w:headerReference w:type="default" r:id="rId15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220C7642" w:rsidR="00AF1D04" w:rsidRPr="00AF1D04" w:rsidRDefault="007532E0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7-19-2024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220C7642" w:rsidR="00AF1D04" w:rsidRPr="00AF1D04" w:rsidRDefault="007532E0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7-19-2024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092B76"/>
    <w:multiLevelType w:val="hybridMultilevel"/>
    <w:tmpl w:val="0D12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5"/>
  </w:num>
  <w:num w:numId="7" w16cid:durableId="495341996">
    <w:abstractNumId w:val="16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7"/>
  </w:num>
  <w:num w:numId="17" w16cid:durableId="1788543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61909"/>
    <w:rsid w:val="000E58A9"/>
    <w:rsid w:val="0012188E"/>
    <w:rsid w:val="00150443"/>
    <w:rsid w:val="002217DC"/>
    <w:rsid w:val="00222CB4"/>
    <w:rsid w:val="0026170A"/>
    <w:rsid w:val="0026447B"/>
    <w:rsid w:val="00287C94"/>
    <w:rsid w:val="002E7252"/>
    <w:rsid w:val="00345F2E"/>
    <w:rsid w:val="003C1F8E"/>
    <w:rsid w:val="0041728D"/>
    <w:rsid w:val="00420C66"/>
    <w:rsid w:val="004D30F0"/>
    <w:rsid w:val="004F4CB9"/>
    <w:rsid w:val="005413CA"/>
    <w:rsid w:val="005C7FFC"/>
    <w:rsid w:val="005E07CD"/>
    <w:rsid w:val="00605891"/>
    <w:rsid w:val="00612BB0"/>
    <w:rsid w:val="00661EAF"/>
    <w:rsid w:val="00667838"/>
    <w:rsid w:val="00690495"/>
    <w:rsid w:val="00696BE2"/>
    <w:rsid w:val="006B5D91"/>
    <w:rsid w:val="006C06FE"/>
    <w:rsid w:val="006D782D"/>
    <w:rsid w:val="006F06F5"/>
    <w:rsid w:val="007532E0"/>
    <w:rsid w:val="00764962"/>
    <w:rsid w:val="007808B0"/>
    <w:rsid w:val="007A5F11"/>
    <w:rsid w:val="0080562D"/>
    <w:rsid w:val="00846188"/>
    <w:rsid w:val="00887099"/>
    <w:rsid w:val="008877C2"/>
    <w:rsid w:val="008E0299"/>
    <w:rsid w:val="008F2302"/>
    <w:rsid w:val="00907D41"/>
    <w:rsid w:val="00954AF8"/>
    <w:rsid w:val="00986E5D"/>
    <w:rsid w:val="00A16F35"/>
    <w:rsid w:val="00A24223"/>
    <w:rsid w:val="00A25C09"/>
    <w:rsid w:val="00A41CCA"/>
    <w:rsid w:val="00AA1C20"/>
    <w:rsid w:val="00AB049B"/>
    <w:rsid w:val="00AB6162"/>
    <w:rsid w:val="00AD5757"/>
    <w:rsid w:val="00AF1D04"/>
    <w:rsid w:val="00B25C41"/>
    <w:rsid w:val="00B500E3"/>
    <w:rsid w:val="00B87D8B"/>
    <w:rsid w:val="00B950AA"/>
    <w:rsid w:val="00BB1FFD"/>
    <w:rsid w:val="00BD6DF2"/>
    <w:rsid w:val="00BF2769"/>
    <w:rsid w:val="00C608E4"/>
    <w:rsid w:val="00CA04A0"/>
    <w:rsid w:val="00CA1E33"/>
    <w:rsid w:val="00CA2A1A"/>
    <w:rsid w:val="00CF49F1"/>
    <w:rsid w:val="00D02D8A"/>
    <w:rsid w:val="00D5294C"/>
    <w:rsid w:val="00D80E8D"/>
    <w:rsid w:val="00DD03BC"/>
    <w:rsid w:val="00E44158"/>
    <w:rsid w:val="00E621D9"/>
    <w:rsid w:val="00EC4AA6"/>
    <w:rsid w:val="00F36B5F"/>
    <w:rsid w:val="00F51FAD"/>
    <w:rsid w:val="00F5483A"/>
    <w:rsid w:val="00F610EE"/>
    <w:rsid w:val="00F7645B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3.png@01DAC98E.2CCB9750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4</Pages>
  <Words>419</Words>
  <Characters>2392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14</cp:revision>
  <cp:lastPrinted>2023-04-13T19:37:00Z</cp:lastPrinted>
  <dcterms:created xsi:type="dcterms:W3CDTF">2024-07-17T16:33:00Z</dcterms:created>
  <dcterms:modified xsi:type="dcterms:W3CDTF">2024-07-19T15:52:00Z</dcterms:modified>
</cp:coreProperties>
</file>