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496"/>
      </w:tblGrid>
      <w:tr w:rsidR="00CA04A0" w14:paraId="42600EA8" w14:textId="77777777" w:rsidTr="00561B5C">
        <w:trPr>
          <w:trHeight w:val="9330"/>
        </w:trPr>
        <w:tc>
          <w:tcPr>
            <w:tcW w:w="8070" w:type="dxa"/>
          </w:tcPr>
          <w:p w14:paraId="133F3DB8" w14:textId="0EFF34A2" w:rsidR="00CA04A0" w:rsidRPr="00C1515C" w:rsidRDefault="00C608E4" w:rsidP="00150443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5C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5BE026B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62800" cy="83820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7C9AD6FC" w:rsidR="00C608E4" w:rsidRPr="00F030BA" w:rsidRDefault="002B351E" w:rsidP="00C608E4">
                                  <w:pPr>
                                    <w:jc w:val="center"/>
                                    <w:rPr>
                                      <w:rFonts w:cstheme="minorHAnsi"/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</w:pPr>
                                  <w:r w:rsidRPr="00585320">
                                    <w:rPr>
                                      <w:rFonts w:ascii="Calibri" w:hAnsi="Calibri" w:cs="Calibri"/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  <w:t xml:space="preserve">MSHO Supplemental Benefit </w:t>
                                  </w:r>
                                  <w:r w:rsidR="00561B5C">
                                    <w:rPr>
                                      <w:rFonts w:ascii="Calibri" w:hAnsi="Calibri" w:cs="Calibri"/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  <w:br/>
                                    <w:t xml:space="preserve">Mid-Year </w:t>
                                  </w:r>
                                  <w:r w:rsidRPr="00585320">
                                    <w:rPr>
                                      <w:rFonts w:ascii="Calibri" w:hAnsi="Calibri" w:cs="Calibri"/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  <w:t>Reminders and 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pt;margin-top:4.5pt;width:564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xDA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" stroked="f">
                      <v:textbox>
                        <w:txbxContent>
                          <w:p w14:paraId="1D4BA1CD" w14:textId="7C9AD6FC" w:rsidR="00C608E4" w:rsidRPr="00F030BA" w:rsidRDefault="002B351E" w:rsidP="00C608E4">
                            <w:pPr>
                              <w:jc w:val="center"/>
                              <w:rPr>
                                <w:rFonts w:cstheme="minorHAnsi"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585320">
                              <w:rPr>
                                <w:rFonts w:ascii="Calibri" w:hAnsi="Calibri" w:cs="Calibri"/>
                                <w:color w:val="44546A" w:themeColor="text2"/>
                                <w:sz w:val="44"/>
                                <w:szCs w:val="44"/>
                              </w:rPr>
                              <w:t xml:space="preserve">MSHO Supplemental Benefit </w:t>
                            </w:r>
                            <w:r w:rsidR="00561B5C">
                              <w:rPr>
                                <w:rFonts w:ascii="Calibri" w:hAnsi="Calibri" w:cs="Calibri"/>
                                <w:color w:val="44546A" w:themeColor="text2"/>
                                <w:sz w:val="44"/>
                                <w:szCs w:val="44"/>
                              </w:rPr>
                              <w:br/>
                              <w:t xml:space="preserve">Mid-Year </w:t>
                            </w:r>
                            <w:r w:rsidRPr="00585320">
                              <w:rPr>
                                <w:rFonts w:ascii="Calibri" w:hAnsi="Calibri" w:cs="Calibri"/>
                                <w:color w:val="44546A" w:themeColor="text2"/>
                                <w:sz w:val="44"/>
                                <w:szCs w:val="44"/>
                              </w:rPr>
                              <w:t>Reminders and 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03CE70" w14:textId="26073FCD" w:rsidR="006B354A" w:rsidRPr="002C43B0" w:rsidRDefault="005C0020" w:rsidP="00934EAD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See</w:t>
            </w:r>
            <w:r w:rsidR="006B354A" w:rsidRPr="002C43B0">
              <w:rPr>
                <w:rFonts w:cstheme="minorHAnsi"/>
              </w:rPr>
              <w:t xml:space="preserve"> below for some reminders related to SecureBlue MSHO Supplemental Benefits</w:t>
            </w:r>
            <w:r>
              <w:rPr>
                <w:rFonts w:cstheme="minorHAnsi"/>
              </w:rPr>
              <w:t xml:space="preserve">. </w:t>
            </w:r>
            <w:r w:rsidR="006B354A" w:rsidRPr="002C43B0">
              <w:rPr>
                <w:rFonts w:cstheme="minorHAnsi"/>
              </w:rPr>
              <w:t xml:space="preserve">All supplemental benefit information can be found on the </w:t>
            </w:r>
            <w:hyperlink r:id="rId7" w:history="1">
              <w:r w:rsidR="0065377E" w:rsidRPr="002C43B0">
                <w:rPr>
                  <w:rStyle w:val="Hyperlink"/>
                  <w:rFonts w:cstheme="minorHAnsi"/>
                </w:rPr>
                <w:t>MSHO Supplemental Benefits webpage</w:t>
              </w:r>
            </w:hyperlink>
            <w:r w:rsidR="0065377E" w:rsidRPr="002C43B0">
              <w:rPr>
                <w:rFonts w:cstheme="minorHAnsi"/>
              </w:rPr>
              <w:t>.</w:t>
            </w:r>
            <w:r w:rsidR="0065377E">
              <w:rPr>
                <w:rFonts w:cstheme="minorHAnsi"/>
              </w:rPr>
              <w:t xml:space="preserve"> </w:t>
            </w:r>
          </w:p>
          <w:p w14:paraId="7A137993" w14:textId="77777777" w:rsidR="006B354A" w:rsidRDefault="006B354A" w:rsidP="00934EAD">
            <w:pPr>
              <w:spacing w:line="259" w:lineRule="auto"/>
              <w:rPr>
                <w:rFonts w:cstheme="minorHAnsi"/>
              </w:rPr>
            </w:pPr>
          </w:p>
          <w:p w14:paraId="101B95F8" w14:textId="67F1409A" w:rsidR="005C0020" w:rsidRDefault="005C0020" w:rsidP="00934EAD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Reminder: For new MSHO, e</w:t>
            </w:r>
            <w:r w:rsidRPr="005C0020">
              <w:rPr>
                <w:rFonts w:cstheme="minorHAnsi"/>
              </w:rPr>
              <w:t xml:space="preserve">xplain MSHO supplemental benefits using resource </w:t>
            </w:r>
            <w:hyperlink r:id="rId8" w:history="1">
              <w:r w:rsidRPr="005C0020">
                <w:rPr>
                  <w:rStyle w:val="Hyperlink"/>
                  <w:rFonts w:cstheme="minorHAnsi"/>
                </w:rPr>
                <w:t>Explanation of Supplemental Benefits</w:t>
              </w:r>
            </w:hyperlink>
          </w:p>
          <w:p w14:paraId="583BE078" w14:textId="77777777" w:rsidR="005C0020" w:rsidRPr="002C43B0" w:rsidRDefault="005C0020" w:rsidP="00934EAD">
            <w:pPr>
              <w:spacing w:line="259" w:lineRule="auto"/>
              <w:rPr>
                <w:rFonts w:cstheme="minorHAnsi"/>
              </w:rPr>
            </w:pPr>
          </w:p>
          <w:p w14:paraId="582BE2E7" w14:textId="744BC233" w:rsidR="006B354A" w:rsidRPr="002C43B0" w:rsidRDefault="006B354A" w:rsidP="00934EAD">
            <w:pPr>
              <w:spacing w:line="259" w:lineRule="auto"/>
              <w:rPr>
                <w:rFonts w:cstheme="minorHAnsi"/>
              </w:rPr>
            </w:pPr>
            <w:r w:rsidRPr="002C43B0">
              <w:rPr>
                <w:rFonts w:cstheme="minorHAnsi"/>
              </w:rPr>
              <w:t xml:space="preserve">If you are referring a member to a supplemental benefit, </w:t>
            </w:r>
            <w:r w:rsidRPr="007D7407">
              <w:rPr>
                <w:rFonts w:cstheme="minorHAnsi"/>
              </w:rPr>
              <w:t>please ensure they have active MSHO coverage and meet the eligibility criteria for each benefit</w:t>
            </w:r>
            <w:r w:rsidRPr="002C43B0">
              <w:rPr>
                <w:rFonts w:cstheme="minorHAnsi"/>
              </w:rPr>
              <w:t xml:space="preserve">. Refer to the Member Eligibility column on the </w:t>
            </w:r>
            <w:hyperlink r:id="rId9" w:history="1">
              <w:r w:rsidRPr="0065377E">
                <w:rPr>
                  <w:rStyle w:val="Hyperlink"/>
                  <w:rFonts w:cstheme="minorHAnsi"/>
                </w:rPr>
                <w:t>2024 SecureBlue MSHO Supplemental Benefits (at a glance) document</w:t>
              </w:r>
            </w:hyperlink>
            <w:r w:rsidR="0065377E">
              <w:rPr>
                <w:rFonts w:cstheme="minorHAnsi"/>
              </w:rPr>
              <w:t>.</w:t>
            </w:r>
          </w:p>
          <w:p w14:paraId="26ACA457" w14:textId="77777777" w:rsidR="006B354A" w:rsidRPr="002C43B0" w:rsidRDefault="006B354A" w:rsidP="00934EAD">
            <w:pPr>
              <w:spacing w:line="259" w:lineRule="auto"/>
              <w:rPr>
                <w:rFonts w:cstheme="minorHAnsi"/>
              </w:rPr>
            </w:pPr>
          </w:p>
          <w:p w14:paraId="02713D3C" w14:textId="3E46B216" w:rsidR="00584E89" w:rsidRPr="002C43B0" w:rsidRDefault="006B354A" w:rsidP="00934EAD">
            <w:pPr>
              <w:spacing w:line="259" w:lineRule="auto"/>
              <w:rPr>
                <w:rFonts w:cstheme="minorHAnsi"/>
                <w:noProof/>
              </w:rPr>
            </w:pPr>
            <w:r w:rsidRPr="002C43B0">
              <w:rPr>
                <w:rFonts w:cstheme="minorHAnsi"/>
              </w:rPr>
              <w:t xml:space="preserve">If a member is receiving on-going services from a SecureBlue MSHO supplemental benefit provider (Alliance Music Therapy, </w:t>
            </w:r>
            <w:proofErr w:type="spellStart"/>
            <w:r w:rsidRPr="002C43B0">
              <w:rPr>
                <w:rFonts w:cstheme="minorHAnsi"/>
              </w:rPr>
              <w:t>Ceresti</w:t>
            </w:r>
            <w:proofErr w:type="spellEnd"/>
            <w:r w:rsidRPr="002C43B0">
              <w:rPr>
                <w:rFonts w:cstheme="minorHAnsi"/>
              </w:rPr>
              <w:t xml:space="preserve">, Dose, Juniper, LSS, </w:t>
            </w:r>
            <w:proofErr w:type="spellStart"/>
            <w:r w:rsidRPr="002C43B0">
              <w:rPr>
                <w:rFonts w:cstheme="minorHAnsi"/>
              </w:rPr>
              <w:t>NourishedRx</w:t>
            </w:r>
            <w:proofErr w:type="spellEnd"/>
            <w:r w:rsidRPr="002C43B0">
              <w:rPr>
                <w:rFonts w:cstheme="minorHAnsi"/>
              </w:rPr>
              <w:t xml:space="preserve">, </w:t>
            </w:r>
            <w:proofErr w:type="spellStart"/>
            <w:r w:rsidRPr="002C43B0">
              <w:rPr>
                <w:rFonts w:cstheme="minorHAnsi"/>
              </w:rPr>
              <w:t>QMedic</w:t>
            </w:r>
            <w:proofErr w:type="spellEnd"/>
            <w:r w:rsidRPr="002C43B0">
              <w:rPr>
                <w:rFonts w:cstheme="minorHAnsi"/>
              </w:rPr>
              <w:t xml:space="preserve">) and the member loses MSHO eligibility (i.e. due to redetermination, chooses another health plan, </w:t>
            </w:r>
            <w:r w:rsidR="006B2FB8" w:rsidRPr="0065377E">
              <w:rPr>
                <w:rFonts w:cstheme="minorHAnsi"/>
              </w:rPr>
              <w:t>etc.</w:t>
            </w:r>
            <w:r w:rsidRPr="0065377E">
              <w:rPr>
                <w:rFonts w:cstheme="minorHAnsi"/>
              </w:rPr>
              <w:t xml:space="preserve">), </w:t>
            </w:r>
            <w:r w:rsidRPr="007D7407">
              <w:rPr>
                <w:rFonts w:cstheme="minorHAnsi"/>
              </w:rPr>
              <w:t xml:space="preserve">inform the provider that the member is no longer </w:t>
            </w:r>
            <w:proofErr w:type="gramStart"/>
            <w:r w:rsidRPr="007D7407">
              <w:rPr>
                <w:rFonts w:cstheme="minorHAnsi"/>
              </w:rPr>
              <w:t>eligible</w:t>
            </w:r>
            <w:proofErr w:type="gramEnd"/>
            <w:r w:rsidRPr="007D7407">
              <w:rPr>
                <w:rFonts w:cstheme="minorHAnsi"/>
              </w:rPr>
              <w:t xml:space="preserve"> and services should be stopped. Supplemental benefit providers may not be aware that a member has termed from SecureBlue MSHO.</w:t>
            </w:r>
            <w:r w:rsidR="00584E89" w:rsidRPr="0065377E">
              <w:rPr>
                <w:rFonts w:cstheme="minorHAnsi"/>
                <w:noProof/>
              </w:rPr>
              <w:t xml:space="preserve"> </w:t>
            </w:r>
          </w:p>
          <w:p w14:paraId="135EDF91" w14:textId="77777777" w:rsidR="00152E06" w:rsidRPr="00561B5C" w:rsidRDefault="00152E06" w:rsidP="00934EAD">
            <w:pPr>
              <w:spacing w:line="259" w:lineRule="auto"/>
              <w:rPr>
                <w:rFonts w:cstheme="minorHAnsi"/>
                <w:noProof/>
                <w:color w:val="44546A" w:themeColor="text2"/>
                <w:sz w:val="24"/>
                <w:szCs w:val="24"/>
              </w:rPr>
            </w:pPr>
          </w:p>
          <w:p w14:paraId="55FF8A5B" w14:textId="2984625C" w:rsidR="00561B5C" w:rsidRPr="005C0020" w:rsidRDefault="002C43B0" w:rsidP="00934EAD">
            <w:pPr>
              <w:spacing w:before="120" w:after="120" w:line="259" w:lineRule="auto"/>
              <w:jc w:val="center"/>
              <w:rPr>
                <w:rFonts w:cstheme="minorHAnsi"/>
                <w:noProof/>
                <w:color w:val="44546A" w:themeColor="text2"/>
                <w:sz w:val="24"/>
                <w:szCs w:val="24"/>
              </w:rPr>
            </w:pPr>
            <w:r w:rsidRPr="002C43B0">
              <w:rPr>
                <w:rFonts w:cstheme="minorHAnsi"/>
                <w:b/>
                <w:bCs/>
                <w:noProof/>
                <w:color w:val="44546A" w:themeColor="text2"/>
                <w:sz w:val="28"/>
                <w:szCs w:val="28"/>
              </w:rPr>
              <w:t xml:space="preserve">Review of all </w:t>
            </w:r>
            <w:r w:rsidR="00561B5C" w:rsidRPr="002C43B0">
              <w:rPr>
                <w:rFonts w:cstheme="minorHAnsi"/>
                <w:b/>
                <w:bCs/>
                <w:noProof/>
                <w:color w:val="44546A" w:themeColor="text2"/>
                <w:sz w:val="28"/>
                <w:szCs w:val="28"/>
              </w:rPr>
              <w:t>MSHO Supplemental Benefits</w:t>
            </w:r>
            <w:r w:rsidR="005C0020">
              <w:rPr>
                <w:rFonts w:cstheme="minorHAnsi"/>
                <w:b/>
                <w:bCs/>
                <w:noProof/>
                <w:color w:val="44546A" w:themeColor="text2"/>
                <w:sz w:val="28"/>
                <w:szCs w:val="28"/>
              </w:rPr>
              <w:t xml:space="preserve"> </w:t>
            </w:r>
            <w:r w:rsidR="005C0020" w:rsidRPr="005C0020">
              <w:rPr>
                <w:rFonts w:cstheme="minorHAnsi"/>
                <w:noProof/>
                <w:color w:val="44546A" w:themeColor="text2"/>
                <w:sz w:val="24"/>
                <w:szCs w:val="24"/>
              </w:rPr>
              <w:t>(must be active MSHO member to be eligible)</w:t>
            </w:r>
          </w:p>
          <w:p w14:paraId="1CC1190C" w14:textId="77777777" w:rsidR="00152E06" w:rsidRPr="002C43B0" w:rsidRDefault="00152E06" w:rsidP="00934EAD">
            <w:pPr>
              <w:pStyle w:val="NormalWeb"/>
              <w:shd w:val="clear" w:color="auto" w:fill="FFFFFF"/>
              <w:spacing w:before="0" w:beforeAutospacing="0" w:after="0" w:afterAutospacing="0" w:line="259" w:lineRule="auto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 w:rsidRPr="002C43B0">
              <w:rPr>
                <w:rStyle w:val="Strong"/>
                <w:rFonts w:asciiTheme="minorHAnsi" w:hAnsiTheme="minorHAnsi" w:cstheme="minorHAnsi"/>
                <w:color w:val="000000" w:themeColor="text1"/>
              </w:rPr>
              <w:t>Alliance Music Therapy</w:t>
            </w:r>
          </w:p>
          <w:p w14:paraId="010DC8E6" w14:textId="79F6DFB3" w:rsidR="00561B5C" w:rsidRPr="002C43B0" w:rsidRDefault="005C0020" w:rsidP="00934EAD">
            <w:pPr>
              <w:shd w:val="clear" w:color="auto" w:fill="FFFFFF"/>
              <w:spacing w:afterLines="60" w:after="144" w:line="259" w:lineRule="auto"/>
              <w:contextualSpacing/>
              <w:mirrorIndents/>
              <w:rPr>
                <w:rFonts w:cstheme="minorHAnsi"/>
                <w:bCs/>
                <w:iCs/>
                <w:lang w:val="en-AU"/>
              </w:rPr>
            </w:pPr>
            <w:r>
              <w:t>Members</w:t>
            </w:r>
            <w:r w:rsidR="00152E06" w:rsidRPr="002C43B0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 xml:space="preserve"> living in a nursing home, assisted living or foster care, and who </w:t>
            </w:r>
            <w:r w:rsidR="00152E06" w:rsidRPr="00006C55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 xml:space="preserve">have a </w:t>
            </w:r>
            <w:r w:rsidR="00006C55" w:rsidRPr="00006C55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q</w:t>
            </w:r>
            <w:r w:rsidR="00006C55" w:rsidRPr="00006C55">
              <w:rPr>
                <w:rStyle w:val="Strong"/>
                <w:b w:val="0"/>
                <w:bCs w:val="0"/>
                <w:color w:val="000000" w:themeColor="text1"/>
              </w:rPr>
              <w:t>ualifying condition</w:t>
            </w:r>
            <w:r w:rsidR="00152E06" w:rsidRPr="00006C55">
              <w:rPr>
                <w:rFonts w:cstheme="minorHAnsi"/>
                <w:color w:val="000000" w:themeColor="text1"/>
              </w:rPr>
              <w:t>, are eligible</w:t>
            </w:r>
            <w:r w:rsidR="00152E06" w:rsidRPr="002C43B0">
              <w:rPr>
                <w:rFonts w:cstheme="minorHAnsi"/>
                <w:color w:val="000000" w:themeColor="text1"/>
              </w:rPr>
              <w:t xml:space="preserve"> </w:t>
            </w:r>
            <w:r w:rsidR="00006C55">
              <w:rPr>
                <w:rFonts w:cstheme="minorHAnsi"/>
                <w:color w:val="000000" w:themeColor="text1"/>
              </w:rPr>
              <w:t xml:space="preserve">to receive </w:t>
            </w:r>
            <w:r w:rsidR="00152E06" w:rsidRPr="002C43B0">
              <w:rPr>
                <w:rStyle w:val="Strong"/>
                <w:rFonts w:cstheme="minorHAnsi"/>
                <w:b w:val="0"/>
                <w:bCs w:val="0"/>
                <w:color w:val="000000" w:themeColor="text1"/>
              </w:rPr>
              <w:t>26 visits per year.</w:t>
            </w:r>
            <w:r w:rsidR="00561B5C" w:rsidRPr="002C43B0">
              <w:rPr>
                <w:rFonts w:cstheme="minorHAnsi"/>
                <w:color w:val="000000" w:themeColor="text1"/>
              </w:rPr>
              <w:t xml:space="preserve"> </w:t>
            </w:r>
            <w:r w:rsidR="00561B5C" w:rsidRPr="002C43B0">
              <w:rPr>
                <w:rFonts w:cstheme="minorHAnsi"/>
              </w:rPr>
              <w:t>Complete the</w:t>
            </w:r>
            <w:r w:rsidR="00E603A0">
              <w:rPr>
                <w:rFonts w:cstheme="minorHAnsi"/>
              </w:rPr>
              <w:t xml:space="preserve"> </w:t>
            </w:r>
            <w:r w:rsidR="00561B5C" w:rsidRPr="00E603A0">
              <w:rPr>
                <w:rFonts w:cstheme="minorHAnsi"/>
              </w:rPr>
              <w:t xml:space="preserve">online referral </w:t>
            </w:r>
            <w:hyperlink r:id="rId10" w:tgtFrame="_blank" w:history="1">
              <w:r w:rsidR="00561B5C" w:rsidRPr="002C43B0">
                <w:rPr>
                  <w:rStyle w:val="Hyperlink"/>
                  <w:rFonts w:eastAsiaTheme="majorEastAsia" w:cstheme="minorHAnsi"/>
                </w:rPr>
                <w:t>https://www.alliancemusictherapy.com/bcbsreferralform</w:t>
              </w:r>
            </w:hyperlink>
            <w:r w:rsidR="00561B5C" w:rsidRPr="002C43B0">
              <w:rPr>
                <w:rFonts w:cstheme="minorHAnsi"/>
                <w:b/>
                <w:bCs/>
              </w:rPr>
              <w:t xml:space="preserve"> </w:t>
            </w:r>
            <w:r w:rsidR="002C43B0" w:rsidRPr="002C43B0">
              <w:rPr>
                <w:rFonts w:cstheme="minorHAnsi"/>
              </w:rPr>
              <w:t>(p</w:t>
            </w:r>
            <w:r w:rsidR="00561B5C" w:rsidRPr="002C43B0">
              <w:rPr>
                <w:rFonts w:cstheme="minorHAnsi"/>
              </w:rPr>
              <w:t>assword: musictherapy24</w:t>
            </w:r>
            <w:r w:rsidR="002C43B0" w:rsidRPr="002C43B0">
              <w:rPr>
                <w:rFonts w:cstheme="minorHAnsi"/>
              </w:rPr>
              <w:t>)</w:t>
            </w:r>
            <w:r w:rsidR="00561B5C" w:rsidRPr="002C43B0">
              <w:rPr>
                <w:rFonts w:cstheme="minorHAnsi"/>
              </w:rPr>
              <w:t xml:space="preserve"> </w:t>
            </w:r>
            <w:r w:rsidR="00561B5C" w:rsidRPr="002C43B0">
              <w:rPr>
                <w:rFonts w:cstheme="minorHAnsi"/>
                <w:bCs/>
                <w:iCs/>
              </w:rPr>
              <w:t xml:space="preserve">or call </w:t>
            </w:r>
            <w:r w:rsidR="00561B5C" w:rsidRPr="002C43B0">
              <w:rPr>
                <w:rFonts w:cstheme="minorHAnsi"/>
                <w:bCs/>
                <w:iCs/>
                <w:lang w:val="en-AU"/>
              </w:rPr>
              <w:t>612-584-0919.</w:t>
            </w:r>
          </w:p>
          <w:p w14:paraId="4572308F" w14:textId="77777777" w:rsidR="00934EAD" w:rsidRPr="0065377E" w:rsidRDefault="00934EAD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</w:p>
          <w:p w14:paraId="0B0243BD" w14:textId="03CF5EBD" w:rsidR="00561B5C" w:rsidRDefault="00561B5C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  <w:r w:rsidRPr="0065377E">
              <w:rPr>
                <w:rFonts w:cstheme="minorHAnsi"/>
              </w:rPr>
              <w:t>If a member lives in a facility where they don’t have access to a telehealth device</w:t>
            </w:r>
            <w:r w:rsidR="002C43B0" w:rsidRPr="0065377E">
              <w:rPr>
                <w:rFonts w:cstheme="minorHAnsi"/>
              </w:rPr>
              <w:t>,</w:t>
            </w:r>
            <w:r w:rsidRPr="0065377E">
              <w:rPr>
                <w:rFonts w:cstheme="minorHAnsi"/>
              </w:rPr>
              <w:t xml:space="preserve"> but </w:t>
            </w:r>
            <w:r w:rsidR="002C43B0" w:rsidRPr="0065377E">
              <w:rPr>
                <w:rFonts w:cstheme="minorHAnsi"/>
              </w:rPr>
              <w:t xml:space="preserve">has access to </w:t>
            </w:r>
            <w:proofErr w:type="spellStart"/>
            <w:r w:rsidR="002C43B0" w:rsidRPr="0065377E">
              <w:rPr>
                <w:rFonts w:cstheme="minorHAnsi"/>
              </w:rPr>
              <w:t>wifi</w:t>
            </w:r>
            <w:proofErr w:type="spellEnd"/>
            <w:r w:rsidR="002C43B0" w:rsidRPr="0065377E">
              <w:rPr>
                <w:rFonts w:cstheme="minorHAnsi"/>
              </w:rPr>
              <w:t>,</w:t>
            </w:r>
            <w:r w:rsidRPr="0065377E">
              <w:rPr>
                <w:rFonts w:cstheme="minorHAnsi"/>
              </w:rPr>
              <w:t xml:space="preserve"> </w:t>
            </w:r>
            <w:r w:rsidRPr="007D7407">
              <w:rPr>
                <w:rFonts w:cstheme="minorHAnsi"/>
              </w:rPr>
              <w:t xml:space="preserve">Alliance can provide the facility with a tablet so the member can access the music therapy services. </w:t>
            </w:r>
            <w:r w:rsidRPr="002C43B0">
              <w:rPr>
                <w:rFonts w:cstheme="minorHAnsi"/>
              </w:rPr>
              <w:t xml:space="preserve">Please inform Alliance if you know that the member lives in a facility without access to a telehealth device (i.e. computer, tablet, smart </w:t>
            </w:r>
            <w:r w:rsidR="002C43B0" w:rsidRPr="002C43B0">
              <w:rPr>
                <w:rFonts w:cstheme="minorHAnsi"/>
              </w:rPr>
              <w:t>phone</w:t>
            </w:r>
            <w:r w:rsidRPr="002C43B0">
              <w:rPr>
                <w:rFonts w:cstheme="minorHAnsi"/>
              </w:rPr>
              <w:t xml:space="preserve">, </w:t>
            </w:r>
            <w:proofErr w:type="spellStart"/>
            <w:r w:rsidRPr="002C43B0">
              <w:rPr>
                <w:rFonts w:cstheme="minorHAnsi"/>
              </w:rPr>
              <w:t>etc</w:t>
            </w:r>
            <w:proofErr w:type="spellEnd"/>
            <w:r w:rsidRPr="002C43B0">
              <w:rPr>
                <w:rFonts w:cstheme="minorHAnsi"/>
              </w:rPr>
              <w:t>).</w:t>
            </w:r>
          </w:p>
          <w:p w14:paraId="33E7C3C6" w14:textId="77777777" w:rsidR="007D7407" w:rsidRPr="002C43B0" w:rsidRDefault="007D7407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</w:p>
          <w:p w14:paraId="3114B74E" w14:textId="48BDA4C2" w:rsidR="00152E06" w:rsidRPr="002C43B0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lastRenderedPageBreak/>
              <w:t>BlueRide</w:t>
            </w:r>
          </w:p>
          <w:p w14:paraId="02C8FDE9" w14:textId="56BE1BB1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All members can receive </w:t>
            </w:r>
            <w:r w:rsidR="002C43B0" w:rsidRPr="002C43B0">
              <w:rPr>
                <w:rFonts w:cstheme="minorHAnsi"/>
                <w:color w:val="000000" w:themeColor="text1"/>
              </w:rPr>
              <w:t>rides to</w:t>
            </w:r>
            <w:r w:rsidRPr="002C43B0">
              <w:rPr>
                <w:rFonts w:cstheme="minorHAnsi"/>
                <w:color w:val="000000" w:themeColor="text1"/>
              </w:rPr>
              <w:t>:</w:t>
            </w:r>
          </w:p>
          <w:p w14:paraId="73C18D90" w14:textId="77777777" w:rsidR="00152E06" w:rsidRPr="002C43B0" w:rsidRDefault="00152E06" w:rsidP="00934EAD">
            <w:pPr>
              <w:numPr>
                <w:ilvl w:val="0"/>
                <w:numId w:val="18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proofErr w:type="spellStart"/>
            <w:r w:rsidRPr="002C43B0">
              <w:rPr>
                <w:rFonts w:cstheme="minorHAnsi"/>
                <w:color w:val="000000" w:themeColor="text1"/>
              </w:rPr>
              <w:t>SilverSneakers</w:t>
            </w:r>
            <w:proofErr w:type="spellEnd"/>
            <w:r w:rsidRPr="002C43B0">
              <w:rPr>
                <w:rFonts w:cstheme="minorHAnsi"/>
                <w:color w:val="000000" w:themeColor="text1"/>
              </w:rPr>
              <w:t xml:space="preserve"> participating fitness </w:t>
            </w:r>
            <w:proofErr w:type="gramStart"/>
            <w:r w:rsidRPr="002C43B0">
              <w:rPr>
                <w:rFonts w:cstheme="minorHAnsi"/>
                <w:color w:val="000000" w:themeColor="text1"/>
              </w:rPr>
              <w:t>locations</w:t>
            </w:r>
            <w:proofErr w:type="gramEnd"/>
          </w:p>
          <w:p w14:paraId="6360B6D0" w14:textId="77777777" w:rsidR="00152E06" w:rsidRPr="002C43B0" w:rsidRDefault="00152E06" w:rsidP="00934EAD">
            <w:pPr>
              <w:numPr>
                <w:ilvl w:val="0"/>
                <w:numId w:val="18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Alcoholics Anonymous (AA) OR Narcotics Anonymous (NA)</w:t>
            </w:r>
          </w:p>
          <w:p w14:paraId="105230E4" w14:textId="77777777" w:rsidR="00152E06" w:rsidRPr="002C43B0" w:rsidRDefault="00152E06" w:rsidP="00934EAD">
            <w:pPr>
              <w:numPr>
                <w:ilvl w:val="0"/>
                <w:numId w:val="18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Juniper Health and Wellness Classes</w:t>
            </w:r>
          </w:p>
          <w:p w14:paraId="3C2A60D0" w14:textId="46CD98F9" w:rsidR="00152E06" w:rsidRPr="002C43B0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Community members</w:t>
            </w:r>
            <w:r w:rsidR="00561B5C" w:rsidRPr="002C43B0">
              <w:rPr>
                <w:rFonts w:cstheme="minorHAnsi"/>
                <w:color w:val="000000" w:themeColor="text1"/>
              </w:rPr>
              <w:t xml:space="preserve"> who have a qualifying diagnosis</w:t>
            </w:r>
            <w:r w:rsidRPr="002C43B0">
              <w:rPr>
                <w:rFonts w:cstheme="minorHAnsi"/>
                <w:color w:val="000000" w:themeColor="text1"/>
              </w:rPr>
              <w:t xml:space="preserve"> can receive six round trips per month to the grocery </w:t>
            </w:r>
            <w:proofErr w:type="gramStart"/>
            <w:r w:rsidRPr="002C43B0">
              <w:rPr>
                <w:rFonts w:cstheme="minorHAnsi"/>
                <w:color w:val="000000" w:themeColor="text1"/>
              </w:rPr>
              <w:t>store</w:t>
            </w:r>
            <w:proofErr w:type="gramEnd"/>
            <w:r w:rsidRPr="002C43B0">
              <w:rPr>
                <w:rFonts w:cstheme="minorHAnsi"/>
                <w:color w:val="000000" w:themeColor="text1"/>
              </w:rPr>
              <w:t xml:space="preserve"> </w:t>
            </w:r>
          </w:p>
          <w:p w14:paraId="40D0D811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</w:p>
          <w:p w14:paraId="26FDC91D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proofErr w:type="spellStart"/>
            <w:r w:rsidRPr="002C43B0">
              <w:rPr>
                <w:rFonts w:cstheme="minorHAnsi"/>
                <w:b/>
                <w:bCs/>
                <w:color w:val="000000" w:themeColor="text1"/>
              </w:rPr>
              <w:t>Ceresti</w:t>
            </w:r>
            <w:proofErr w:type="spellEnd"/>
          </w:p>
          <w:p w14:paraId="71191534" w14:textId="43C18566" w:rsidR="00152E06" w:rsidRPr="002C43B0" w:rsidRDefault="00D31D27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Caregivers don’t have to do it alone. </w:t>
            </w:r>
            <w:proofErr w:type="spellStart"/>
            <w:r w:rsidRPr="002C43B0">
              <w:rPr>
                <w:rFonts w:cstheme="minorHAnsi"/>
                <w:color w:val="000000" w:themeColor="text1"/>
              </w:rPr>
              <w:t>Ceresti</w:t>
            </w:r>
            <w:proofErr w:type="spellEnd"/>
            <w:r w:rsidRPr="002C43B0">
              <w:rPr>
                <w:rFonts w:cstheme="minorHAnsi"/>
                <w:color w:val="000000" w:themeColor="text1"/>
              </w:rPr>
              <w:t xml:space="preserve"> provides c</w:t>
            </w:r>
            <w:r w:rsidR="00152E06" w:rsidRPr="002C43B0">
              <w:rPr>
                <w:rFonts w:cstheme="minorHAnsi"/>
                <w:color w:val="000000" w:themeColor="text1"/>
              </w:rPr>
              <w:t xml:space="preserve">oaching, education and support </w:t>
            </w:r>
            <w:r w:rsidR="006B2FB8" w:rsidRPr="002C43B0">
              <w:rPr>
                <w:rFonts w:cstheme="minorHAnsi"/>
                <w:color w:val="000000" w:themeColor="text1"/>
              </w:rPr>
              <w:t>services</w:t>
            </w:r>
            <w:r w:rsidR="00152E06" w:rsidRPr="002C43B0">
              <w:rPr>
                <w:rFonts w:cstheme="minorHAnsi"/>
                <w:color w:val="000000" w:themeColor="text1"/>
              </w:rPr>
              <w:t xml:space="preserve"> to train and support the </w:t>
            </w:r>
            <w:proofErr w:type="gramStart"/>
            <w:r w:rsidR="002C43B0" w:rsidRPr="002C43B0">
              <w:rPr>
                <w:rFonts w:cstheme="minorHAnsi"/>
                <w:color w:val="000000" w:themeColor="text1"/>
              </w:rPr>
              <w:t>c</w:t>
            </w:r>
            <w:r w:rsidR="00152E06" w:rsidRPr="002C43B0">
              <w:rPr>
                <w:rFonts w:cstheme="minorHAnsi"/>
                <w:color w:val="000000" w:themeColor="text1"/>
              </w:rPr>
              <w:t>aregiver</w:t>
            </w:r>
            <w:proofErr w:type="gramEnd"/>
            <w:r w:rsidR="00152E06" w:rsidRPr="002C43B0">
              <w:rPr>
                <w:rFonts w:cstheme="minorHAnsi"/>
                <w:color w:val="000000" w:themeColor="text1"/>
              </w:rPr>
              <w:t xml:space="preserve"> of members with a </w:t>
            </w:r>
            <w:r w:rsidR="00006C55">
              <w:rPr>
                <w:rFonts w:cstheme="minorHAnsi"/>
                <w:color w:val="000000" w:themeColor="text1"/>
              </w:rPr>
              <w:t xml:space="preserve">qualifying </w:t>
            </w:r>
            <w:r w:rsidR="00152E06" w:rsidRPr="002C43B0">
              <w:rPr>
                <w:rFonts w:cstheme="minorHAnsi"/>
                <w:color w:val="000000" w:themeColor="text1"/>
              </w:rPr>
              <w:t xml:space="preserve">diagnosis. </w:t>
            </w:r>
            <w:r w:rsidR="00E603A0">
              <w:rPr>
                <w:rFonts w:cstheme="minorHAnsi"/>
                <w:color w:val="000000" w:themeColor="text1"/>
              </w:rPr>
              <w:t xml:space="preserve">Submit a </w:t>
            </w:r>
            <w:hyperlink r:id="rId11" w:history="1">
              <w:r w:rsidR="00E603A0" w:rsidRPr="00E603A0">
                <w:rPr>
                  <w:rStyle w:val="Hyperlink"/>
                  <w:rFonts w:cstheme="minorHAnsi"/>
                </w:rPr>
                <w:t>referral</w:t>
              </w:r>
            </w:hyperlink>
            <w:r w:rsidR="00E603A0">
              <w:rPr>
                <w:rFonts w:cstheme="minorHAnsi"/>
                <w:color w:val="000000" w:themeColor="text1"/>
              </w:rPr>
              <w:t xml:space="preserve"> or </w:t>
            </w:r>
            <w:r w:rsidRPr="002C43B0">
              <w:rPr>
                <w:rFonts w:cstheme="minorHAnsi"/>
                <w:color w:val="000000" w:themeColor="text1"/>
              </w:rPr>
              <w:t xml:space="preserve">visit the </w:t>
            </w:r>
            <w:proofErr w:type="spellStart"/>
            <w:r w:rsidRPr="002C43B0">
              <w:rPr>
                <w:rFonts w:cstheme="minorHAnsi"/>
                <w:color w:val="000000" w:themeColor="text1"/>
              </w:rPr>
              <w:t>Ceresti</w:t>
            </w:r>
            <w:proofErr w:type="spellEnd"/>
            <w:r w:rsidR="00152E06" w:rsidRPr="002C43B0">
              <w:rPr>
                <w:rFonts w:cstheme="minorHAnsi"/>
                <w:color w:val="000000" w:themeColor="text1"/>
              </w:rPr>
              <w:t xml:space="preserve"> </w:t>
            </w:r>
            <w:hyperlink r:id="rId12" w:history="1">
              <w:r w:rsidR="00152E06" w:rsidRPr="002C43B0">
                <w:rPr>
                  <w:rStyle w:val="Hyperlink"/>
                  <w:rFonts w:cstheme="minorHAnsi"/>
                </w:rPr>
                <w:t>SecureBlue website</w:t>
              </w:r>
            </w:hyperlink>
            <w:r w:rsidR="00E603A0">
              <w:rPr>
                <w:rStyle w:val="Hyperlink"/>
                <w:rFonts w:cstheme="minorHAnsi"/>
              </w:rPr>
              <w:t>.</w:t>
            </w:r>
          </w:p>
          <w:p w14:paraId="03B64943" w14:textId="77777777" w:rsidR="00152E06" w:rsidRPr="002C43B0" w:rsidRDefault="00152E06" w:rsidP="00934EAD">
            <w:pPr>
              <w:keepNext/>
              <w:autoSpaceDE w:val="0"/>
              <w:autoSpaceDN w:val="0"/>
              <w:spacing w:line="259" w:lineRule="auto"/>
              <w:ind w:left="14"/>
              <w:rPr>
                <w:rFonts w:cstheme="minorHAnsi"/>
                <w:b/>
                <w:bCs/>
                <w:color w:val="000000" w:themeColor="text1"/>
              </w:rPr>
            </w:pPr>
          </w:p>
          <w:p w14:paraId="032533C2" w14:textId="77777777" w:rsidR="00152E06" w:rsidRPr="002C43B0" w:rsidRDefault="00152E06" w:rsidP="00934EAD">
            <w:pPr>
              <w:keepNext/>
              <w:autoSpaceDE w:val="0"/>
              <w:autoSpaceDN w:val="0"/>
              <w:spacing w:line="259" w:lineRule="auto"/>
              <w:ind w:left="14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t>Corner Home Medical</w:t>
            </w:r>
          </w:p>
          <w:p w14:paraId="453F5798" w14:textId="595929BB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1 per member per year</w:t>
            </w:r>
            <w:r w:rsidR="005C0020">
              <w:rPr>
                <w:rFonts w:cstheme="minorHAnsi"/>
                <w:color w:val="000000" w:themeColor="text1"/>
              </w:rPr>
              <w:t xml:space="preserve">: </w:t>
            </w:r>
          </w:p>
          <w:p w14:paraId="2A102BF4" w14:textId="05BFE971" w:rsidR="00152E06" w:rsidRPr="002C43B0" w:rsidRDefault="00152E06" w:rsidP="00934EAD">
            <w:pPr>
              <w:numPr>
                <w:ilvl w:val="0"/>
                <w:numId w:val="19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proofErr w:type="spellStart"/>
            <w:r w:rsidRPr="002C43B0">
              <w:rPr>
                <w:rFonts w:cstheme="minorHAnsi"/>
                <w:color w:val="000000" w:themeColor="text1"/>
              </w:rPr>
              <w:t>FitBit</w:t>
            </w:r>
            <w:proofErr w:type="spellEnd"/>
          </w:p>
          <w:p w14:paraId="4972EFEE" w14:textId="77332041" w:rsidR="00152E06" w:rsidRPr="002C43B0" w:rsidRDefault="00152E06" w:rsidP="00934EAD">
            <w:pPr>
              <w:numPr>
                <w:ilvl w:val="0"/>
                <w:numId w:val="19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box of 50 disposable face masks </w:t>
            </w:r>
          </w:p>
          <w:p w14:paraId="596B5174" w14:textId="6C9BE3A6" w:rsidR="00152E06" w:rsidRPr="002C43B0" w:rsidRDefault="00152E06" w:rsidP="00934EAD">
            <w:pPr>
              <w:numPr>
                <w:ilvl w:val="0"/>
                <w:numId w:val="19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electric toothbrush and p</w:t>
            </w:r>
            <w:r w:rsidR="00E603A0">
              <w:rPr>
                <w:rFonts w:cstheme="minorHAnsi"/>
                <w:color w:val="000000" w:themeColor="text1"/>
              </w:rPr>
              <w:t>ackage</w:t>
            </w:r>
            <w:r w:rsidRPr="002C43B0">
              <w:rPr>
                <w:rFonts w:cstheme="minorHAnsi"/>
                <w:color w:val="000000" w:themeColor="text1"/>
              </w:rPr>
              <w:t xml:space="preserve"> of 3 replacement heads </w:t>
            </w:r>
          </w:p>
          <w:p w14:paraId="0520C0BC" w14:textId="0B9FFB77" w:rsidR="00152E06" w:rsidRPr="002C43B0" w:rsidRDefault="00152E06" w:rsidP="00934EAD">
            <w:pPr>
              <w:numPr>
                <w:ilvl w:val="0"/>
                <w:numId w:val="19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package of 6 washable/reusable under pads (34 in x 35in) for beds and furniture </w:t>
            </w:r>
          </w:p>
          <w:p w14:paraId="548EADDC" w14:textId="39DC0F49" w:rsidR="00152E06" w:rsidRPr="002C43B0" w:rsidRDefault="00E603A0" w:rsidP="00934EAD">
            <w:pPr>
              <w:numPr>
                <w:ilvl w:val="0"/>
                <w:numId w:val="19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</w:t>
            </w:r>
            <w:r w:rsidR="00152E06" w:rsidRPr="002C43B0">
              <w:rPr>
                <w:rFonts w:cstheme="minorHAnsi"/>
                <w:color w:val="000000" w:themeColor="text1"/>
              </w:rPr>
              <w:t>alker/</w:t>
            </w:r>
            <w:r>
              <w:rPr>
                <w:rFonts w:cstheme="minorHAnsi"/>
                <w:color w:val="000000" w:themeColor="text1"/>
              </w:rPr>
              <w:t>w</w:t>
            </w:r>
            <w:r w:rsidR="00152E06" w:rsidRPr="002C43B0">
              <w:rPr>
                <w:rFonts w:cstheme="minorHAnsi"/>
                <w:color w:val="000000" w:themeColor="text1"/>
              </w:rPr>
              <w:t>heelchair safety item (for members who use a walker or wheelchair)</w:t>
            </w:r>
          </w:p>
          <w:p w14:paraId="22FDCB2A" w14:textId="5476BAB6" w:rsidR="00D31D27" w:rsidRPr="002C43B0" w:rsidRDefault="00AC3DB2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Style w:val="Hyperlink"/>
                <w:rFonts w:cstheme="minorHAnsi"/>
                <w:b/>
                <w:bCs/>
              </w:rPr>
            </w:pPr>
            <w:hyperlink r:id="rId13" w:history="1">
              <w:r w:rsidR="00D31D27" w:rsidRPr="002C43B0">
                <w:rPr>
                  <w:rStyle w:val="Hyperlink"/>
                  <w:rFonts w:eastAsiaTheme="minorEastAsia" w:cstheme="minorHAnsi"/>
                </w:rPr>
                <w:t>Corner Home Medical CHM Referral Form</w:t>
              </w:r>
            </w:hyperlink>
          </w:p>
          <w:p w14:paraId="00B0A84B" w14:textId="7D67D3C2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439FD70A" w14:textId="68008498" w:rsidR="00E603A0" w:rsidRPr="00541431" w:rsidRDefault="00E603A0" w:rsidP="00E603A0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541431">
              <w:rPr>
                <w:rFonts w:cstheme="minorHAnsi"/>
                <w:b/>
                <w:bCs/>
                <w:color w:val="000000" w:themeColor="text1"/>
              </w:rPr>
              <w:t xml:space="preserve">CVS </w:t>
            </w:r>
          </w:p>
          <w:p w14:paraId="66097FB6" w14:textId="54CD7109" w:rsidR="00E603A0" w:rsidRDefault="005C0020" w:rsidP="00E603A0">
            <w:pPr>
              <w:tabs>
                <w:tab w:val="right" w:pos="14514"/>
              </w:tabs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603A0">
              <w:rPr>
                <w:rFonts w:cstheme="minorHAnsi"/>
              </w:rPr>
              <w:t xml:space="preserve">embers who live in the community (not in a nursing facility) and have a qualifying chronic condition receive </w:t>
            </w:r>
            <w:proofErr w:type="gramStart"/>
            <w:r w:rsidR="00E603A0" w:rsidRPr="00A64272">
              <w:rPr>
                <w:rFonts w:cstheme="minorHAnsi"/>
              </w:rPr>
              <w:t>$120</w:t>
            </w:r>
            <w:proofErr w:type="gramEnd"/>
            <w:r w:rsidR="00E603A0" w:rsidRPr="00A64272">
              <w:rPr>
                <w:rFonts w:cstheme="minorHAnsi"/>
              </w:rPr>
              <w:t xml:space="preserve"> per month allowance for utilities and rent</w:t>
            </w:r>
            <w:r w:rsidR="00E603A0">
              <w:rPr>
                <w:rFonts w:cstheme="minorHAnsi"/>
              </w:rPr>
              <w:t>.</w:t>
            </w:r>
          </w:p>
          <w:p w14:paraId="4EC7607A" w14:textId="77777777" w:rsidR="00E603A0" w:rsidRDefault="00E603A0" w:rsidP="00E603A0">
            <w:pPr>
              <w:tabs>
                <w:tab w:val="right" w:pos="14514"/>
              </w:tabs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</w:p>
          <w:p w14:paraId="4E05F097" w14:textId="56393EF3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All members have a $150 per quarter allowance to purchase select over-the-counter items through CVS. </w:t>
            </w:r>
          </w:p>
          <w:p w14:paraId="54EB9E38" w14:textId="77777777" w:rsidR="00152E06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6E21A5E7" w14:textId="77777777" w:rsidR="00152E06" w:rsidRPr="002C43B0" w:rsidRDefault="00152E06" w:rsidP="00934EAD">
            <w:pPr>
              <w:keepNext/>
              <w:keepLines/>
              <w:autoSpaceDE w:val="0"/>
              <w:autoSpaceDN w:val="0"/>
              <w:spacing w:line="259" w:lineRule="auto"/>
              <w:ind w:left="14"/>
              <w:rPr>
                <w:rFonts w:cstheme="minorHAnsi"/>
                <w:b/>
                <w:bCs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t>Dental</w:t>
            </w:r>
          </w:p>
          <w:p w14:paraId="1BE68DC6" w14:textId="6D30CE76" w:rsidR="00152E06" w:rsidRPr="002C43B0" w:rsidRDefault="00152E06" w:rsidP="00934EAD">
            <w:pPr>
              <w:keepNext/>
              <w:keepLines/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All members are eligible to receive additional dental services above and beyond what Medicaid covers:</w:t>
            </w:r>
          </w:p>
          <w:p w14:paraId="76D9AC55" w14:textId="77777777" w:rsidR="00152E06" w:rsidRPr="002C43B0" w:rsidRDefault="00152E06" w:rsidP="00934EAD">
            <w:pPr>
              <w:numPr>
                <w:ilvl w:val="0"/>
                <w:numId w:val="20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One additional preventive exam per calendar year and basic services including X-rays and </w:t>
            </w:r>
            <w:proofErr w:type="gramStart"/>
            <w:r w:rsidRPr="002C43B0">
              <w:rPr>
                <w:rFonts w:cstheme="minorHAnsi"/>
                <w:color w:val="000000" w:themeColor="text1"/>
              </w:rPr>
              <w:t>filling</w:t>
            </w:r>
            <w:proofErr w:type="gramEnd"/>
          </w:p>
          <w:p w14:paraId="17B53D0E" w14:textId="77777777" w:rsidR="00152E06" w:rsidRPr="002C43B0" w:rsidRDefault="00152E06" w:rsidP="00934EAD">
            <w:pPr>
              <w:numPr>
                <w:ilvl w:val="0"/>
                <w:numId w:val="20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Dental crowns, any tooth (maximum two per year)</w:t>
            </w:r>
          </w:p>
          <w:p w14:paraId="1EF40573" w14:textId="77777777" w:rsidR="00152E06" w:rsidRPr="002C43B0" w:rsidRDefault="00152E06" w:rsidP="00934EAD">
            <w:pPr>
              <w:numPr>
                <w:ilvl w:val="0"/>
                <w:numId w:val="20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Root canal, any molar. No prior authorization required (one per tooth per lifetime)</w:t>
            </w:r>
          </w:p>
          <w:p w14:paraId="1281CB92" w14:textId="77777777" w:rsidR="00152E06" w:rsidRPr="002C43B0" w:rsidRDefault="00152E06" w:rsidP="00934EAD">
            <w:pPr>
              <w:numPr>
                <w:ilvl w:val="0"/>
                <w:numId w:val="20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Root canal retreat per tooth per lifetime</w:t>
            </w:r>
          </w:p>
          <w:p w14:paraId="186B5BC2" w14:textId="77777777" w:rsidR="00152E06" w:rsidRPr="002C43B0" w:rsidRDefault="00152E06" w:rsidP="00934EAD">
            <w:pPr>
              <w:numPr>
                <w:ilvl w:val="0"/>
                <w:numId w:val="20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lastRenderedPageBreak/>
              <w:t>Full mouth x-ray once every 5 years</w:t>
            </w:r>
          </w:p>
          <w:p w14:paraId="69ABF266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047F137E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t>Dose Flip</w:t>
            </w:r>
          </w:p>
          <w:p w14:paraId="38A80121" w14:textId="196616DD" w:rsidR="00152E06" w:rsidRDefault="00152E06" w:rsidP="00006C55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Community members can receive </w:t>
            </w:r>
            <w:proofErr w:type="gramStart"/>
            <w:r w:rsidRPr="002C43B0">
              <w:rPr>
                <w:rFonts w:cstheme="minorHAnsi"/>
                <w:color w:val="000000" w:themeColor="text1"/>
              </w:rPr>
              <w:t>med</w:t>
            </w:r>
            <w:proofErr w:type="gramEnd"/>
            <w:r w:rsidRPr="002C43B0">
              <w:rPr>
                <w:rFonts w:cstheme="minorHAnsi"/>
                <w:color w:val="000000" w:themeColor="text1"/>
              </w:rPr>
              <w:t xml:space="preserve"> dispensers and reminders to ensure the members get their medications on time. Dose also offers</w:t>
            </w:r>
            <w:r w:rsidR="00006C55">
              <w:rPr>
                <w:rFonts w:cstheme="minorHAnsi"/>
                <w:color w:val="000000" w:themeColor="text1"/>
              </w:rPr>
              <w:t xml:space="preserve"> </w:t>
            </w:r>
            <w:r w:rsidRPr="002C43B0">
              <w:rPr>
                <w:rFonts w:cstheme="minorHAnsi"/>
                <w:color w:val="000000" w:themeColor="text1"/>
              </w:rPr>
              <w:t>Dose Flip Alerts</w:t>
            </w:r>
            <w:r w:rsidR="00006C55">
              <w:rPr>
                <w:rFonts w:cstheme="minorHAnsi"/>
                <w:color w:val="000000" w:themeColor="text1"/>
              </w:rPr>
              <w:t xml:space="preserve"> to inform</w:t>
            </w:r>
            <w:r w:rsidRPr="002C43B0">
              <w:rPr>
                <w:rFonts w:cstheme="minorHAnsi"/>
                <w:color w:val="000000" w:themeColor="text1"/>
              </w:rPr>
              <w:t xml:space="preserve"> caregivers if medications are not taken properly, </w:t>
            </w:r>
            <w:r w:rsidR="00006C55">
              <w:rPr>
                <w:rFonts w:cstheme="minorHAnsi"/>
                <w:color w:val="000000" w:themeColor="text1"/>
              </w:rPr>
              <w:t xml:space="preserve">and </w:t>
            </w:r>
            <w:r w:rsidRPr="002C43B0">
              <w:rPr>
                <w:rFonts w:cstheme="minorHAnsi"/>
                <w:color w:val="000000" w:themeColor="text1"/>
              </w:rPr>
              <w:t>Dose Remind</w:t>
            </w:r>
            <w:r w:rsidR="00006C55">
              <w:rPr>
                <w:rFonts w:cstheme="minorHAnsi"/>
                <w:color w:val="000000" w:themeColor="text1"/>
              </w:rPr>
              <w:t xml:space="preserve"> for </w:t>
            </w:r>
            <w:r w:rsidRPr="002C43B0">
              <w:rPr>
                <w:rFonts w:cstheme="minorHAnsi"/>
                <w:color w:val="000000" w:themeColor="text1"/>
              </w:rPr>
              <w:t>Activities of Daily Living (ADLs) reminders.</w:t>
            </w:r>
          </w:p>
          <w:p w14:paraId="3C5764CC" w14:textId="77777777" w:rsidR="00E603A0" w:rsidRPr="002C43B0" w:rsidRDefault="00E603A0" w:rsidP="00E603A0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</w:rPr>
            </w:pPr>
            <w:r w:rsidRPr="007D7407">
              <w:rPr>
                <w:rFonts w:cstheme="minorHAnsi"/>
              </w:rPr>
              <w:t xml:space="preserve">Dose has a new referral form </w:t>
            </w:r>
            <w:hyperlink r:id="rId14" w:history="1">
              <w:r w:rsidRPr="002C43B0">
                <w:rPr>
                  <w:rStyle w:val="Hyperlink"/>
                  <w:rFonts w:cstheme="minorHAnsi"/>
                </w:rPr>
                <w:t>https://www.dosehealth.com/referrals</w:t>
              </w:r>
            </w:hyperlink>
            <w:r>
              <w:rPr>
                <w:rStyle w:val="Hyperlink"/>
                <w:rFonts w:cstheme="minorHAnsi"/>
              </w:rPr>
              <w:t>.</w:t>
            </w:r>
            <w:r w:rsidRPr="002C43B0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If you have feedback or suggestions about the new form, email </w:t>
            </w:r>
            <w:hyperlink r:id="rId15" w:history="1">
              <w:r w:rsidRPr="00C74454">
                <w:rPr>
                  <w:rStyle w:val="Hyperlink"/>
                  <w:rFonts w:ascii="Calibri" w:hAnsi="Calibri" w:cs="Calibri"/>
                </w:rPr>
                <w:t>office@dosehealth.com</w:t>
              </w:r>
            </w:hyperlink>
            <w:r>
              <w:rPr>
                <w:rStyle w:val="Hyperlink"/>
                <w:rFonts w:ascii="Calibri" w:hAnsi="Calibri" w:cs="Calibri"/>
              </w:rPr>
              <w:t xml:space="preserve">. </w:t>
            </w:r>
            <w:r w:rsidRPr="007D7407">
              <w:rPr>
                <w:rFonts w:cstheme="minorHAnsi"/>
              </w:rPr>
              <w:t xml:space="preserve">Care coordinators may also continue to use the </w:t>
            </w:r>
            <w:hyperlink r:id="rId16" w:history="1">
              <w:r w:rsidRPr="002C43B0">
                <w:rPr>
                  <w:rStyle w:val="Hyperlink"/>
                  <w:rFonts w:cstheme="minorHAnsi"/>
                </w:rPr>
                <w:t>Dose-BCBS referral form 12-15-2022 (PDF)</w:t>
              </w:r>
            </w:hyperlink>
          </w:p>
          <w:p w14:paraId="204010C7" w14:textId="77777777" w:rsidR="00152E06" w:rsidRPr="002C43B0" w:rsidRDefault="00152E06" w:rsidP="00934EAD">
            <w:pPr>
              <w:keepNext/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</w:p>
          <w:p w14:paraId="5A3A586C" w14:textId="207E77D9" w:rsidR="00152E06" w:rsidRPr="00541431" w:rsidRDefault="00152E06" w:rsidP="00541431">
            <w:pPr>
              <w:keepNext/>
              <w:autoSpaceDE w:val="0"/>
              <w:autoSpaceDN w:val="0"/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541431">
              <w:rPr>
                <w:rFonts w:cstheme="minorHAnsi"/>
                <w:b/>
                <w:bCs/>
                <w:color w:val="000000" w:themeColor="text1"/>
              </w:rPr>
              <w:t>Juniper</w:t>
            </w:r>
            <w:r w:rsidR="00541431" w:rsidRPr="0054143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59F4E254" w14:textId="7EECCFB5" w:rsidR="00152E06" w:rsidRPr="002C43B0" w:rsidRDefault="00152E06" w:rsidP="00006C55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Evidence-based </w:t>
            </w:r>
            <w:r w:rsidR="00541431">
              <w:rPr>
                <w:rFonts w:cstheme="minorHAnsi"/>
                <w:color w:val="000000" w:themeColor="text1"/>
              </w:rPr>
              <w:t xml:space="preserve">health and wellness </w:t>
            </w:r>
            <w:r w:rsidRPr="002C43B0">
              <w:rPr>
                <w:rFonts w:cstheme="minorHAnsi"/>
                <w:color w:val="000000" w:themeColor="text1"/>
              </w:rPr>
              <w:t xml:space="preserve">classes designed for older adults </w:t>
            </w:r>
            <w:r w:rsidR="00006C55">
              <w:rPr>
                <w:rFonts w:cstheme="minorHAnsi"/>
                <w:color w:val="000000" w:themeColor="text1"/>
              </w:rPr>
              <w:t>to</w:t>
            </w:r>
            <w:r w:rsidRPr="002C43B0">
              <w:rPr>
                <w:rFonts w:cstheme="minorHAnsi"/>
                <w:color w:val="000000" w:themeColor="text1"/>
              </w:rPr>
              <w:t xml:space="preserve"> provide education, skills, and strategies to prevent falls and promote self-management of chronic conditions.</w:t>
            </w:r>
            <w:r w:rsidR="00006C55">
              <w:rPr>
                <w:rFonts w:cstheme="minorHAnsi"/>
                <w:color w:val="000000" w:themeColor="text1"/>
              </w:rPr>
              <w:t xml:space="preserve"> </w:t>
            </w:r>
            <w:r w:rsidRPr="002C43B0">
              <w:rPr>
                <w:rFonts w:cstheme="minorHAnsi"/>
                <w:color w:val="000000" w:themeColor="text1"/>
              </w:rPr>
              <w:t xml:space="preserve">Refer online at </w:t>
            </w:r>
            <w:hyperlink r:id="rId17" w:history="1">
              <w:r w:rsidRPr="002C43B0">
                <w:rPr>
                  <w:rStyle w:val="Hyperlink"/>
                  <w:rFonts w:cstheme="minorHAnsi"/>
                  <w:color w:val="000000" w:themeColor="text1"/>
                </w:rPr>
                <w:t>https://yourjuniper.org</w:t>
              </w:r>
            </w:hyperlink>
            <w:r w:rsidRPr="002C43B0">
              <w:rPr>
                <w:rFonts w:cstheme="minorHAnsi"/>
                <w:color w:val="000000" w:themeColor="text1"/>
              </w:rPr>
              <w:t xml:space="preserve"> </w:t>
            </w:r>
            <w:r w:rsidR="00006C55">
              <w:rPr>
                <w:rFonts w:cstheme="minorHAnsi"/>
                <w:color w:val="000000" w:themeColor="text1"/>
              </w:rPr>
              <w:t>or</w:t>
            </w:r>
            <w:r w:rsidRPr="002C43B0">
              <w:rPr>
                <w:rFonts w:cstheme="minorHAnsi"/>
                <w:color w:val="000000" w:themeColor="text1"/>
              </w:rPr>
              <w:t xml:space="preserve"> </w:t>
            </w:r>
            <w:r w:rsidR="00006C55">
              <w:rPr>
                <w:rFonts w:cstheme="minorHAnsi"/>
                <w:color w:val="000000" w:themeColor="text1"/>
              </w:rPr>
              <w:t>c</w:t>
            </w:r>
            <w:r w:rsidRPr="002C43B0">
              <w:rPr>
                <w:rFonts w:cstheme="minorHAnsi"/>
                <w:color w:val="000000" w:themeColor="text1"/>
              </w:rPr>
              <w:t>all 855-215-2174</w:t>
            </w:r>
            <w:r w:rsidR="00006C55">
              <w:rPr>
                <w:rFonts w:cstheme="minorHAnsi"/>
                <w:color w:val="000000" w:themeColor="text1"/>
              </w:rPr>
              <w:t>.</w:t>
            </w:r>
          </w:p>
          <w:p w14:paraId="229B8C4E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4462535E" w14:textId="77777777" w:rsidR="00152E06" w:rsidRPr="002C43B0" w:rsidRDefault="00152E06" w:rsidP="00477C20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bookmarkStart w:id="0" w:name="_Hlk136421081"/>
            <w:r w:rsidRPr="002C43B0">
              <w:rPr>
                <w:rFonts w:cstheme="minorHAnsi"/>
                <w:b/>
                <w:bCs/>
                <w:color w:val="000000" w:themeColor="text1"/>
              </w:rPr>
              <w:t xml:space="preserve">LSS </w:t>
            </w:r>
          </w:p>
          <w:p w14:paraId="0B251E7C" w14:textId="4DC4D99F" w:rsidR="00152E06" w:rsidRPr="00477C20" w:rsidRDefault="00934EAD" w:rsidP="00477C20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cstheme="minorBidi"/>
                <w:color w:val="000000" w:themeColor="text1"/>
              </w:rPr>
            </w:pPr>
            <w:r w:rsidRPr="00477C20">
              <w:rPr>
                <w:rFonts w:cstheme="minorHAnsi"/>
                <w:color w:val="000000" w:themeColor="text1"/>
              </w:rPr>
              <w:t>P</w:t>
            </w:r>
            <w:r w:rsidRPr="00477C20">
              <w:rPr>
                <w:color w:val="000000" w:themeColor="text1"/>
              </w:rPr>
              <w:t>ost Discharge Services:</w:t>
            </w:r>
            <w:r w:rsidR="00006C55" w:rsidRPr="00477C20">
              <w:rPr>
                <w:color w:val="000000" w:themeColor="text1"/>
              </w:rPr>
              <w:t xml:space="preserve"> </w:t>
            </w:r>
            <w:r w:rsidR="00006C55" w:rsidRPr="00477C20">
              <w:rPr>
                <w:rFonts w:cstheme="minorHAnsi"/>
                <w:color w:val="000000" w:themeColor="text1"/>
              </w:rPr>
              <w:t>c</w:t>
            </w:r>
            <w:r w:rsidR="00152E06" w:rsidRPr="00477C20">
              <w:rPr>
                <w:rFonts w:cstheme="minorHAnsi"/>
                <w:color w:val="000000" w:themeColor="text1"/>
              </w:rPr>
              <w:t xml:space="preserve">ommunity members recently discharged from </w:t>
            </w:r>
            <w:r w:rsidR="00006C55" w:rsidRPr="00477C20">
              <w:rPr>
                <w:rFonts w:cstheme="minorHAnsi"/>
                <w:color w:val="000000" w:themeColor="text1"/>
              </w:rPr>
              <w:t xml:space="preserve">a </w:t>
            </w:r>
            <w:r w:rsidR="00152E06" w:rsidRPr="00477C20">
              <w:rPr>
                <w:rFonts w:cstheme="minorHAnsi"/>
                <w:color w:val="000000" w:themeColor="text1"/>
              </w:rPr>
              <w:t>hospital or SNF stay can receive:</w:t>
            </w:r>
          </w:p>
          <w:p w14:paraId="2A0F2CA7" w14:textId="6DA0DB11" w:rsidR="00152E06" w:rsidRPr="00541431" w:rsidRDefault="00152E06" w:rsidP="00477C20">
            <w:pPr>
              <w:pStyle w:val="ListParagraph"/>
              <w:numPr>
                <w:ilvl w:val="0"/>
                <w:numId w:val="24"/>
              </w:numPr>
              <w:spacing w:before="0"/>
              <w:ind w:left="648"/>
              <w:rPr>
                <w:rFonts w:cstheme="minorHAnsi"/>
                <w:color w:val="000000" w:themeColor="text1"/>
              </w:rPr>
            </w:pPr>
            <w:r w:rsidRPr="00541431">
              <w:rPr>
                <w:rFonts w:cstheme="minorHAnsi"/>
                <w:color w:val="000000" w:themeColor="text1"/>
              </w:rPr>
              <w:t>Home-Delivered Meals up to 14 meals per week for up to 4 weeks AND</w:t>
            </w:r>
          </w:p>
          <w:p w14:paraId="2330BF96" w14:textId="046D6B13" w:rsidR="00152E06" w:rsidRPr="00541431" w:rsidRDefault="00152E06" w:rsidP="00477C20">
            <w:pPr>
              <w:pStyle w:val="ListParagraph"/>
              <w:numPr>
                <w:ilvl w:val="0"/>
                <w:numId w:val="24"/>
              </w:numPr>
              <w:spacing w:before="0"/>
              <w:ind w:left="648"/>
              <w:rPr>
                <w:rFonts w:cstheme="minorHAnsi"/>
                <w:color w:val="000000" w:themeColor="text1"/>
              </w:rPr>
            </w:pPr>
            <w:r w:rsidRPr="00541431">
              <w:rPr>
                <w:rFonts w:cstheme="minorHAnsi"/>
                <w:color w:val="000000" w:themeColor="text1"/>
              </w:rPr>
              <w:t xml:space="preserve">Healthy Transitions program: </w:t>
            </w:r>
            <w:r w:rsidR="00934EAD" w:rsidRPr="00541431">
              <w:rPr>
                <w:rFonts w:cstheme="minorHAnsi"/>
                <w:color w:val="000000" w:themeColor="text1"/>
              </w:rPr>
              <w:t>w</w:t>
            </w:r>
            <w:r w:rsidRPr="00541431">
              <w:rPr>
                <w:rFonts w:cstheme="minorHAnsi"/>
                <w:color w:val="000000" w:themeColor="text1"/>
              </w:rPr>
              <w:t xml:space="preserve">eekly in-home/telephonic visits during first 4 weeks post discharge by Community Health Worker. </w:t>
            </w:r>
          </w:p>
          <w:p w14:paraId="03684EFE" w14:textId="6CB0A950" w:rsidR="00934EAD" w:rsidRPr="00E23E29" w:rsidRDefault="00934EAD" w:rsidP="00477C20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cstheme="minorHAnsi"/>
                <w:color w:val="000000" w:themeColor="text1"/>
              </w:rPr>
            </w:pPr>
            <w:r w:rsidRPr="00477C20">
              <w:rPr>
                <w:rFonts w:cstheme="minorHAnsi"/>
                <w:color w:val="000000" w:themeColor="text1"/>
              </w:rPr>
              <w:t>Caregiver Emergency Backup Planning</w:t>
            </w:r>
            <w:r w:rsidR="00006C55" w:rsidRPr="00477C20">
              <w:rPr>
                <w:rFonts w:cstheme="minorHAnsi"/>
                <w:color w:val="000000" w:themeColor="text1"/>
              </w:rPr>
              <w:t xml:space="preserve">: </w:t>
            </w:r>
            <w:r w:rsidRPr="00477C20">
              <w:rPr>
                <w:rFonts w:cstheme="minorHAnsi"/>
                <w:color w:val="000000" w:themeColor="text1"/>
              </w:rPr>
              <w:t>members who have a caregiver and a qualifying diagnosis can c</w:t>
            </w:r>
            <w:r w:rsidRPr="00477C20">
              <w:rPr>
                <w:rFonts w:cstheme="minorHAnsi"/>
              </w:rPr>
              <w:t>reate an in-depth care plan to be activated if the caregiver can no longer care for their loved one, for either the short-term or the long-term.</w:t>
            </w:r>
          </w:p>
          <w:p w14:paraId="54AA05F1" w14:textId="74B16216" w:rsidR="00E23E29" w:rsidRPr="00477C20" w:rsidRDefault="00E23E29" w:rsidP="00E23E29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cstheme="minorHAnsi"/>
                <w:color w:val="000000" w:themeColor="text1"/>
              </w:rPr>
            </w:pPr>
            <w:r w:rsidRPr="00477C20">
              <w:rPr>
                <w:rFonts w:cstheme="minorHAnsi"/>
                <w:color w:val="000000" w:themeColor="text1"/>
              </w:rPr>
              <w:t xml:space="preserve">Friendly Helper: </w:t>
            </w:r>
            <w:r>
              <w:t>all members may receive u</w:t>
            </w:r>
            <w:r w:rsidRPr="00D81DDA">
              <w:t xml:space="preserve">p to 60 hours per year of </w:t>
            </w:r>
            <w:r>
              <w:t>f</w:t>
            </w:r>
            <w:r w:rsidRPr="00D81DDA">
              <w:t>riendly helpe</w:t>
            </w:r>
            <w:r>
              <w:t>r services</w:t>
            </w:r>
            <w:r w:rsidRPr="00D81DDA">
              <w:t xml:space="preserve"> </w:t>
            </w:r>
            <w:r>
              <w:t>including friendly visiting, light household chores, grocery shopping, etc.</w:t>
            </w:r>
          </w:p>
          <w:p w14:paraId="0BA85AA4" w14:textId="3E9015AA" w:rsidR="00E23E29" w:rsidRPr="00E23E29" w:rsidRDefault="00E23E29" w:rsidP="00E23E29">
            <w:pPr>
              <w:pStyle w:val="ListParagraph"/>
              <w:spacing w:before="0"/>
              <w:ind w:left="375"/>
              <w:rPr>
                <w:rFonts w:cstheme="minorHAnsi"/>
                <w:color w:val="FF0000"/>
              </w:rPr>
            </w:pPr>
            <w:r w:rsidRPr="007D7407">
              <w:rPr>
                <w:rFonts w:cstheme="minorHAnsi"/>
                <w:color w:val="auto"/>
              </w:rPr>
              <w:t xml:space="preserve">Reminder: </w:t>
            </w:r>
            <w:r w:rsidRPr="007D7407">
              <w:rPr>
                <w:color w:val="auto"/>
              </w:rPr>
              <w:t xml:space="preserve"> </w:t>
            </w:r>
            <w:r w:rsidRPr="007D7407">
              <w:rPr>
                <w:rFonts w:cstheme="minorHAnsi"/>
                <w:color w:val="auto"/>
              </w:rPr>
              <w:t xml:space="preserve">If a member has a family member or other informal contact who would like to be the Friendly Helper, the Care Coordinator or person interested in applying can email </w:t>
            </w:r>
            <w:hyperlink r:id="rId18" w:history="1">
              <w:r w:rsidRPr="004D3914">
                <w:rPr>
                  <w:rStyle w:val="Hyperlink"/>
                  <w:rFonts w:cstheme="minorHAnsi"/>
                </w:rPr>
                <w:t>LSSHealthyTransitions@lssmn.org</w:t>
              </w:r>
            </w:hyperlink>
            <w:r w:rsidRPr="00E23E29">
              <w:rPr>
                <w:rFonts w:cstheme="minorHAnsi"/>
                <w:color w:val="FF0000"/>
              </w:rPr>
              <w:t xml:space="preserve">. </w:t>
            </w:r>
            <w:r w:rsidRPr="007D7407">
              <w:rPr>
                <w:rFonts w:cstheme="minorHAnsi"/>
                <w:color w:val="auto"/>
              </w:rPr>
              <w:t>LSS Healthy Transitions will connect the person directly with LSS HR to apply.</w:t>
            </w:r>
          </w:p>
          <w:p w14:paraId="600101FD" w14:textId="0CE26B16" w:rsidR="00934EAD" w:rsidRDefault="00934EAD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  <w:r>
              <w:rPr>
                <w:rFonts w:cstheme="minorHAnsi"/>
              </w:rPr>
              <w:t>For any LSS service, complete the LSS referral form</w:t>
            </w:r>
            <w:hyperlink r:id="rId19" w:history="1">
              <w:r w:rsidRPr="00E95FE2">
                <w:rPr>
                  <w:rStyle w:val="Hyperlink"/>
                  <w:rFonts w:cstheme="minorHAnsi"/>
                </w:rPr>
                <w:t xml:space="preserve"> BluePlus-LSS_ReferralForm - All Services 2024_Updated</w:t>
              </w:r>
            </w:hyperlink>
            <w:r>
              <w:rPr>
                <w:rFonts w:cstheme="minorHAnsi"/>
              </w:rPr>
              <w:t xml:space="preserve"> and email to </w:t>
            </w:r>
            <w:hyperlink r:id="rId20" w:history="1">
              <w:r w:rsidRPr="00AF28A7">
                <w:rPr>
                  <w:rStyle w:val="Hyperlink"/>
                  <w:rFonts w:cstheme="minorHAnsi"/>
                </w:rPr>
                <w:t>LSSHealthyTransitions@lssmn.org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9AC2EBF" w14:textId="77777777" w:rsidR="005C0020" w:rsidRDefault="005C0020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</w:p>
          <w:p w14:paraId="22A581EB" w14:textId="77777777" w:rsidR="005C0020" w:rsidRDefault="005C0020" w:rsidP="00934EAD">
            <w:pPr>
              <w:shd w:val="clear" w:color="auto" w:fill="FFFFFF"/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</w:p>
          <w:p w14:paraId="5B74EAC0" w14:textId="5B5EF109" w:rsidR="00541431" w:rsidRPr="00541431" w:rsidRDefault="00541431" w:rsidP="00006C55">
            <w:pPr>
              <w:autoSpaceDE w:val="0"/>
              <w:autoSpaceDN w:val="0"/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541431">
              <w:rPr>
                <w:rFonts w:cstheme="minorHAnsi"/>
                <w:b/>
                <w:bCs/>
                <w:color w:val="000000" w:themeColor="text1"/>
              </w:rPr>
              <w:lastRenderedPageBreak/>
              <w:t>NourishedRx</w:t>
            </w:r>
          </w:p>
          <w:p w14:paraId="200919F3" w14:textId="43AEA431" w:rsidR="00336204" w:rsidRPr="00A64272" w:rsidRDefault="006027CD" w:rsidP="00336204">
            <w:pPr>
              <w:spacing w:beforeLines="60" w:before="144" w:afterLines="60" w:after="144" w:line="259" w:lineRule="auto"/>
              <w:contextualSpacing/>
              <w:mirrorIndents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members who </w:t>
            </w:r>
            <w:r w:rsidR="00336204">
              <w:rPr>
                <w:rFonts w:cstheme="minorHAnsi"/>
              </w:rPr>
              <w:t xml:space="preserve">have a qualifying chronic condition may receive a combination of </w:t>
            </w:r>
            <w:r w:rsidR="00336204" w:rsidRPr="00DB0A7C">
              <w:t>prepared meals, pantry and food boxes and meal kits</w:t>
            </w:r>
            <w:r w:rsidR="00006C55">
              <w:t xml:space="preserve"> for up to 12 weeks per year. </w:t>
            </w:r>
            <w:r w:rsidR="00336204">
              <w:t xml:space="preserve">Members must participate in nutrition education from NourishedRx to help with making sustained dietary changes and improve overall health. </w:t>
            </w:r>
            <w:r w:rsidR="00336204">
              <w:rPr>
                <w:rFonts w:cstheme="minorHAnsi"/>
              </w:rPr>
              <w:t xml:space="preserve">Care Coordinators submit referrals using the </w:t>
            </w:r>
            <w:hyperlink r:id="rId21" w:history="1">
              <w:r w:rsidR="00336204" w:rsidRPr="00345978">
                <w:rPr>
                  <w:rStyle w:val="Hyperlink"/>
                  <w:rFonts w:cstheme="minorHAnsi"/>
                </w:rPr>
                <w:t>NourishedRx-BCBS MSHO Referral From</w:t>
              </w:r>
            </w:hyperlink>
          </w:p>
          <w:p w14:paraId="302119E3" w14:textId="18353A19" w:rsidR="00541431" w:rsidRDefault="00541431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52CFFF26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t>Podiatry</w:t>
            </w:r>
          </w:p>
          <w:p w14:paraId="107C2BE0" w14:textId="35A8BB11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All members may receive up to 12 routine podiatry visits per calendar year. </w:t>
            </w:r>
            <w:r w:rsidR="006027CD">
              <w:rPr>
                <w:rFonts w:cstheme="minorHAnsi"/>
                <w:color w:val="000000" w:themeColor="text1"/>
              </w:rPr>
              <w:t>No</w:t>
            </w:r>
            <w:r w:rsidRPr="002C43B0">
              <w:rPr>
                <w:rFonts w:cstheme="minorHAnsi"/>
                <w:color w:val="000000" w:themeColor="text1"/>
              </w:rPr>
              <w:t xml:space="preserve"> Medicare</w:t>
            </w:r>
            <w:r w:rsidR="006027CD">
              <w:rPr>
                <w:rFonts w:cstheme="minorHAnsi"/>
                <w:color w:val="000000" w:themeColor="text1"/>
              </w:rPr>
              <w:t>-</w:t>
            </w:r>
            <w:r w:rsidRPr="002C43B0">
              <w:rPr>
                <w:rFonts w:cstheme="minorHAnsi"/>
                <w:color w:val="000000" w:themeColor="text1"/>
              </w:rPr>
              <w:t>covered diagnosis</w:t>
            </w:r>
            <w:r w:rsidR="006027CD">
              <w:rPr>
                <w:rFonts w:cstheme="minorHAnsi"/>
                <w:color w:val="000000" w:themeColor="text1"/>
              </w:rPr>
              <w:t xml:space="preserve"> required</w:t>
            </w:r>
            <w:r w:rsidRPr="002C43B0">
              <w:rPr>
                <w:rFonts w:cstheme="minorHAnsi"/>
                <w:color w:val="000000" w:themeColor="text1"/>
              </w:rPr>
              <w:t>.</w:t>
            </w:r>
          </w:p>
          <w:p w14:paraId="06ABE667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61027552" w14:textId="5C77BBD7" w:rsidR="00152E06" w:rsidRPr="00006C55" w:rsidRDefault="00152E06" w:rsidP="00006C55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2C43B0">
              <w:rPr>
                <w:rFonts w:cstheme="minorHAnsi"/>
                <w:b/>
                <w:bCs/>
                <w:color w:val="000000" w:themeColor="text1"/>
              </w:rPr>
              <w:t>QMedic</w:t>
            </w:r>
            <w:bookmarkEnd w:id="0"/>
            <w:proofErr w:type="spellEnd"/>
          </w:p>
          <w:p w14:paraId="365BA5C1" w14:textId="1F99E0B3" w:rsidR="00152E06" w:rsidRPr="002C43B0" w:rsidRDefault="00152E06" w:rsidP="00934EAD">
            <w:pPr>
              <w:pStyle w:val="ListParagraph"/>
              <w:widowControl/>
              <w:numPr>
                <w:ilvl w:val="0"/>
                <w:numId w:val="23"/>
              </w:numPr>
              <w:spacing w:before="0" w:after="160" w:line="259" w:lineRule="auto"/>
              <w:contextualSpacing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PERS – personal emergency response systems (in-home, mobile, and smartwatch devices available)</w:t>
            </w:r>
            <w:r w:rsidR="00006C55">
              <w:rPr>
                <w:rFonts w:cstheme="minorHAnsi"/>
                <w:color w:val="000000" w:themeColor="text1"/>
              </w:rPr>
              <w:t xml:space="preserve"> for members who live in the </w:t>
            </w:r>
            <w:proofErr w:type="gramStart"/>
            <w:r w:rsidR="00006C55">
              <w:rPr>
                <w:rFonts w:cstheme="minorHAnsi"/>
                <w:color w:val="000000" w:themeColor="text1"/>
              </w:rPr>
              <w:t>community</w:t>
            </w:r>
            <w:proofErr w:type="gramEnd"/>
          </w:p>
          <w:p w14:paraId="74F2A438" w14:textId="7060A35E" w:rsidR="00152E06" w:rsidRPr="002C43B0" w:rsidRDefault="00152E06" w:rsidP="00934EAD">
            <w:pPr>
              <w:pStyle w:val="ListParagraph"/>
              <w:widowControl/>
              <w:numPr>
                <w:ilvl w:val="0"/>
                <w:numId w:val="23"/>
              </w:numPr>
              <w:spacing w:before="0" w:after="160" w:line="259" w:lineRule="auto"/>
              <w:contextualSpacing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Blood pressure monitoring device with optional texts for readings outside of threshold</w:t>
            </w:r>
            <w:r w:rsidR="00006C55">
              <w:rPr>
                <w:rFonts w:cstheme="minorHAnsi"/>
                <w:color w:val="000000" w:themeColor="text1"/>
              </w:rPr>
              <w:t xml:space="preserve"> for members who</w:t>
            </w:r>
            <w:r w:rsidR="00477C20">
              <w:rPr>
                <w:rFonts w:cstheme="minorHAnsi"/>
                <w:color w:val="000000" w:themeColor="text1"/>
              </w:rPr>
              <w:t xml:space="preserve"> live in the community and</w:t>
            </w:r>
            <w:r w:rsidR="00006C55">
              <w:rPr>
                <w:rFonts w:cstheme="minorHAnsi"/>
                <w:color w:val="000000" w:themeColor="text1"/>
              </w:rPr>
              <w:t xml:space="preserve"> have a qualifying </w:t>
            </w:r>
            <w:proofErr w:type="gramStart"/>
            <w:r w:rsidR="00006C55">
              <w:rPr>
                <w:rFonts w:cstheme="minorHAnsi"/>
                <w:color w:val="000000" w:themeColor="text1"/>
              </w:rPr>
              <w:t>condition</w:t>
            </w:r>
            <w:proofErr w:type="gramEnd"/>
          </w:p>
          <w:p w14:paraId="1B92E0A5" w14:textId="0E66A0BD" w:rsidR="00152E06" w:rsidRPr="002C43B0" w:rsidRDefault="00152E06" w:rsidP="00934EAD">
            <w:pPr>
              <w:pStyle w:val="ListParagraph"/>
              <w:widowControl/>
              <w:numPr>
                <w:ilvl w:val="0"/>
                <w:numId w:val="23"/>
              </w:numPr>
              <w:spacing w:before="0" w:after="160" w:line="259" w:lineRule="auto"/>
              <w:contextualSpacing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Animatronic companion pets (cat, dog, and bird available)</w:t>
            </w:r>
            <w:r w:rsidR="00006C55">
              <w:rPr>
                <w:rFonts w:cstheme="minorHAnsi"/>
                <w:color w:val="000000" w:themeColor="text1"/>
              </w:rPr>
              <w:t xml:space="preserve"> available to members who have a qualifying </w:t>
            </w:r>
            <w:proofErr w:type="gramStart"/>
            <w:r w:rsidR="00006C55">
              <w:rPr>
                <w:rFonts w:cstheme="minorHAnsi"/>
                <w:color w:val="000000" w:themeColor="text1"/>
              </w:rPr>
              <w:t>condition</w:t>
            </w:r>
            <w:proofErr w:type="gramEnd"/>
          </w:p>
          <w:p w14:paraId="6CC0EDC9" w14:textId="20BF11E2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proofErr w:type="spellStart"/>
            <w:r w:rsidRPr="002C43B0">
              <w:rPr>
                <w:rFonts w:cstheme="minorHAnsi"/>
                <w:color w:val="000000" w:themeColor="text1"/>
              </w:rPr>
              <w:t>QMedic</w:t>
            </w:r>
            <w:proofErr w:type="spellEnd"/>
            <w:r w:rsidRPr="002C43B0">
              <w:rPr>
                <w:rFonts w:cstheme="minorHAnsi"/>
                <w:color w:val="000000" w:themeColor="text1"/>
              </w:rPr>
              <w:t xml:space="preserve"> offers its PERS members FREE reminder phone calls/texts, lockboxes, and a voice activated app called BLINK. You can find </w:t>
            </w:r>
            <w:proofErr w:type="spellStart"/>
            <w:r w:rsidRPr="002C43B0">
              <w:rPr>
                <w:rFonts w:cstheme="minorHAnsi"/>
                <w:color w:val="000000" w:themeColor="text1"/>
              </w:rPr>
              <w:t>QMedic</w:t>
            </w:r>
            <w:proofErr w:type="spellEnd"/>
            <w:r w:rsidRPr="002C43B0">
              <w:rPr>
                <w:rFonts w:cstheme="minorHAnsi"/>
                <w:color w:val="000000" w:themeColor="text1"/>
              </w:rPr>
              <w:t xml:space="preserve"> referral </w:t>
            </w:r>
            <w:hyperlink r:id="rId22" w:history="1">
              <w:r w:rsidR="00D31D27" w:rsidRPr="002C43B0">
                <w:rPr>
                  <w:rStyle w:val="Hyperlink"/>
                  <w:rFonts w:cstheme="minorHAnsi"/>
                </w:rPr>
                <w:t>here</w:t>
              </w:r>
            </w:hyperlink>
            <w:r w:rsidRPr="002C43B0">
              <w:rPr>
                <w:rFonts w:cstheme="minorHAnsi"/>
                <w:color w:val="000000" w:themeColor="text1"/>
              </w:rPr>
              <w:t xml:space="preserve"> or contact Alexandra Palamari at </w:t>
            </w:r>
            <w:hyperlink r:id="rId23" w:tgtFrame="_blank" w:history="1">
              <w:r w:rsidRPr="002C43B0">
                <w:rPr>
                  <w:rStyle w:val="Hyperlink"/>
                  <w:rFonts w:cstheme="minorHAnsi"/>
                </w:rPr>
                <w:t>apalamari@qmedichealth.com</w:t>
              </w:r>
            </w:hyperlink>
            <w:r w:rsidRPr="002C43B0">
              <w:rPr>
                <w:rFonts w:cstheme="minorHAnsi"/>
                <w:color w:val="000000" w:themeColor="text1"/>
              </w:rPr>
              <w:t>.</w:t>
            </w:r>
          </w:p>
          <w:p w14:paraId="406F1BAD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</w:p>
          <w:p w14:paraId="018585CE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t>$750 Safety Benefit</w:t>
            </w:r>
          </w:p>
          <w:p w14:paraId="7A6AEE06" w14:textId="251D4AE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Community members may receive home and bathroom safety devices and modifications to prevent injuries in the home. The benefit may be used multiple times, up to $750/year. </w:t>
            </w:r>
          </w:p>
          <w:p w14:paraId="733A533D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1F9848AB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2C43B0">
              <w:rPr>
                <w:rFonts w:cstheme="minorHAnsi"/>
                <w:b/>
                <w:bCs/>
                <w:color w:val="000000" w:themeColor="text1"/>
              </w:rPr>
              <w:t>SilverSneakers</w:t>
            </w:r>
            <w:proofErr w:type="spellEnd"/>
          </w:p>
          <w:p w14:paraId="30288530" w14:textId="6FCF3D95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All members have access to a fitness facility membership and classes from participating fitness clubs and exercise centers. Visit </w:t>
            </w:r>
            <w:hyperlink r:id="rId24" w:history="1">
              <w:r w:rsidRPr="002C43B0">
                <w:rPr>
                  <w:rStyle w:val="Hyperlink"/>
                  <w:rFonts w:cstheme="minorHAnsi"/>
                  <w:color w:val="000000" w:themeColor="text1"/>
                </w:rPr>
                <w:t>https://tools.silversneakers.com/</w:t>
              </w:r>
            </w:hyperlink>
            <w:r w:rsidRPr="002C43B0">
              <w:rPr>
                <w:rFonts w:cstheme="minorHAnsi"/>
                <w:color w:val="000000" w:themeColor="text1"/>
              </w:rPr>
              <w:t>. There are many new online and on-demand classes available!</w:t>
            </w:r>
          </w:p>
          <w:p w14:paraId="1D8A5DB4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</w:p>
          <w:p w14:paraId="60397F02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2C43B0">
              <w:rPr>
                <w:rFonts w:cstheme="minorHAnsi"/>
                <w:b/>
                <w:bCs/>
                <w:color w:val="000000" w:themeColor="text1"/>
              </w:rPr>
              <w:t>Vision</w:t>
            </w:r>
          </w:p>
          <w:p w14:paraId="18CA478C" w14:textId="7C7A69C6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All members may receive any combination of the following benefits each year from a network provider:</w:t>
            </w:r>
          </w:p>
          <w:p w14:paraId="232774D7" w14:textId="77777777" w:rsidR="00152E06" w:rsidRPr="002C43B0" w:rsidRDefault="00152E06" w:rsidP="00934EAD">
            <w:pPr>
              <w:numPr>
                <w:ilvl w:val="0"/>
                <w:numId w:val="21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Anti-glare lens coating, up to two lenses every year</w:t>
            </w:r>
          </w:p>
          <w:p w14:paraId="3BBA31AD" w14:textId="77777777" w:rsidR="00152E06" w:rsidRPr="002C43B0" w:rsidRDefault="00152E06" w:rsidP="00934EAD">
            <w:pPr>
              <w:numPr>
                <w:ilvl w:val="0"/>
                <w:numId w:val="21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Photochromatic lens tinting (Transition® lenses), up to two lenses every year </w:t>
            </w:r>
          </w:p>
          <w:p w14:paraId="71107DF4" w14:textId="77777777" w:rsidR="00152E06" w:rsidRPr="002C43B0" w:rsidRDefault="00152E06" w:rsidP="00934EAD">
            <w:pPr>
              <w:numPr>
                <w:ilvl w:val="0"/>
                <w:numId w:val="21"/>
              </w:num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Progressive (no-line) lenses, up to two lenses every year</w:t>
            </w:r>
          </w:p>
          <w:p w14:paraId="3C7EC33C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14:paraId="6614B860" w14:textId="76D509B0" w:rsidR="00152E06" w:rsidRPr="002C43B0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>Thank you for providing education and information to SecureBlue MSHO members about their Supplemental Benefits</w:t>
            </w:r>
            <w:r w:rsidR="00477C20">
              <w:rPr>
                <w:rFonts w:cstheme="minorHAnsi"/>
                <w:color w:val="000000" w:themeColor="text1"/>
              </w:rPr>
              <w:t xml:space="preserve"> throughout the year</w:t>
            </w:r>
            <w:r w:rsidRPr="002C43B0">
              <w:rPr>
                <w:rFonts w:cstheme="minorHAnsi"/>
                <w:color w:val="000000" w:themeColor="text1"/>
              </w:rPr>
              <w:t>. We appreciate your work in helping members understand and access their benefits. If you have any questions, please contact your Partner Relations Consultant.</w:t>
            </w:r>
          </w:p>
          <w:p w14:paraId="43F22413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3B5EC7A4" w14:textId="77777777" w:rsidR="00152E06" w:rsidRPr="002C43B0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  <w:r w:rsidRPr="002C43B0">
              <w:rPr>
                <w:rFonts w:cstheme="minorHAnsi"/>
                <w:color w:val="000000" w:themeColor="text1"/>
              </w:rPr>
              <w:t xml:space="preserve">Please continue to share your comments on MSHO vendor experiences and supplemental benefits so we can improve the benefits for our members and for you! Send feedback to: </w:t>
            </w:r>
            <w:hyperlink r:id="rId25" w:history="1">
              <w:r w:rsidRPr="002C43B0">
                <w:rPr>
                  <w:rStyle w:val="Hyperlink"/>
                  <w:rFonts w:cstheme="minorHAnsi"/>
                  <w:color w:val="000000" w:themeColor="text1"/>
                </w:rPr>
                <w:t>jenna.rangel@bluecrossmn.com</w:t>
              </w:r>
            </w:hyperlink>
          </w:p>
          <w:p w14:paraId="5B40072C" w14:textId="6D25E1DA" w:rsidR="00CA04A0" w:rsidRPr="00C1515C" w:rsidRDefault="00CA04A0" w:rsidP="007D7407">
            <w:pPr>
              <w:rPr>
                <w:rFonts w:ascii="Arial" w:hAnsi="Arial" w:cs="Arial"/>
              </w:rPr>
            </w:pPr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26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7424" w14:textId="77777777" w:rsidR="00E24F08" w:rsidRDefault="00E24F08" w:rsidP="00BB1FFD">
      <w:pPr>
        <w:spacing w:after="0" w:line="240" w:lineRule="auto"/>
      </w:pPr>
      <w:r>
        <w:separator/>
      </w:r>
    </w:p>
  </w:endnote>
  <w:endnote w:type="continuationSeparator" w:id="0">
    <w:p w14:paraId="7A77EA7C" w14:textId="77777777" w:rsidR="00E24F08" w:rsidRDefault="00E24F08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2499" w14:textId="77777777" w:rsidR="00E24F08" w:rsidRDefault="00E24F08" w:rsidP="00BB1FFD">
      <w:pPr>
        <w:spacing w:after="0" w:line="240" w:lineRule="auto"/>
      </w:pPr>
      <w:r>
        <w:separator/>
      </w:r>
    </w:p>
  </w:footnote>
  <w:footnote w:type="continuationSeparator" w:id="0">
    <w:p w14:paraId="37971BDD" w14:textId="77777777" w:rsidR="00E24F08" w:rsidRDefault="00E24F08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1" w:name="_Hlk132280772"/>
                          <w:bookmarkEnd w:id="1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9" w:name="_Hlk132280772"/>
                    <w:bookmarkEnd w:id="19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8E70F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361B0E58" w:rsidR="00AF1D04" w:rsidRPr="00AF1D04" w:rsidRDefault="006E524F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6</w:t>
                          </w:r>
                          <w:r w:rsidR="00782314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/</w:t>
                          </w:r>
                          <w:r w:rsidR="007D7407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7</w:t>
                          </w:r>
                          <w:r w:rsidR="00782314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361B0E58" w:rsidR="00AF1D04" w:rsidRPr="00AF1D04" w:rsidRDefault="006E524F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6</w:t>
                    </w:r>
                    <w:r w:rsidR="00782314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/</w:t>
                    </w:r>
                    <w:r w:rsidR="007D7407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7</w:t>
                    </w:r>
                    <w:r w:rsidR="00782314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/2024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CE3"/>
    <w:multiLevelType w:val="hybridMultilevel"/>
    <w:tmpl w:val="EDCEBCE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757FD"/>
    <w:multiLevelType w:val="hybridMultilevel"/>
    <w:tmpl w:val="8B768E9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C54F2"/>
    <w:multiLevelType w:val="hybridMultilevel"/>
    <w:tmpl w:val="7DC2157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0B271ED"/>
    <w:multiLevelType w:val="hybridMultilevel"/>
    <w:tmpl w:val="7424E744"/>
    <w:lvl w:ilvl="0" w:tplc="295AD290">
      <w:start w:val="1"/>
      <w:numFmt w:val="decimal"/>
      <w:lvlText w:val="%1."/>
      <w:lvlJc w:val="left"/>
      <w:pPr>
        <w:ind w:left="375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862E9"/>
    <w:multiLevelType w:val="hybridMultilevel"/>
    <w:tmpl w:val="7D58F55E"/>
    <w:lvl w:ilvl="0" w:tplc="C8A2A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6B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9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C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4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8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0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28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80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1EA8"/>
    <w:multiLevelType w:val="hybridMultilevel"/>
    <w:tmpl w:val="9FC284C8"/>
    <w:lvl w:ilvl="0" w:tplc="6B9E2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6FC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F4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A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0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A3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A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2B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646823FC"/>
    <w:multiLevelType w:val="hybridMultilevel"/>
    <w:tmpl w:val="5A6426AC"/>
    <w:lvl w:ilvl="0" w:tplc="FB4AF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65F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4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4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8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A7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2B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562BE8"/>
    <w:multiLevelType w:val="hybridMultilevel"/>
    <w:tmpl w:val="C52E332E"/>
    <w:lvl w:ilvl="0" w:tplc="9C2E27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E5FEF"/>
    <w:multiLevelType w:val="hybridMultilevel"/>
    <w:tmpl w:val="AEC8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5"/>
  </w:num>
  <w:num w:numId="2" w16cid:durableId="1797331095">
    <w:abstractNumId w:val="9"/>
  </w:num>
  <w:num w:numId="3" w16cid:durableId="214856249">
    <w:abstractNumId w:val="13"/>
  </w:num>
  <w:num w:numId="4" w16cid:durableId="1499616861">
    <w:abstractNumId w:val="18"/>
  </w:num>
  <w:num w:numId="5" w16cid:durableId="2073769093">
    <w:abstractNumId w:val="2"/>
  </w:num>
  <w:num w:numId="6" w16cid:durableId="18362904">
    <w:abstractNumId w:val="23"/>
  </w:num>
  <w:num w:numId="7" w16cid:durableId="495341996">
    <w:abstractNumId w:val="24"/>
  </w:num>
  <w:num w:numId="8" w16cid:durableId="195433800">
    <w:abstractNumId w:val="5"/>
  </w:num>
  <w:num w:numId="9" w16cid:durableId="2131320421">
    <w:abstractNumId w:val="14"/>
  </w:num>
  <w:num w:numId="10" w16cid:durableId="292836173">
    <w:abstractNumId w:val="11"/>
  </w:num>
  <w:num w:numId="11" w16cid:durableId="590047722">
    <w:abstractNumId w:val="6"/>
  </w:num>
  <w:num w:numId="12" w16cid:durableId="1674527007">
    <w:abstractNumId w:val="8"/>
  </w:num>
  <w:num w:numId="13" w16cid:durableId="1073697651">
    <w:abstractNumId w:val="7"/>
  </w:num>
  <w:num w:numId="14" w16cid:durableId="1167403472">
    <w:abstractNumId w:val="16"/>
  </w:num>
  <w:num w:numId="15" w16cid:durableId="1282767395">
    <w:abstractNumId w:val="21"/>
  </w:num>
  <w:num w:numId="16" w16cid:durableId="974333673">
    <w:abstractNumId w:val="12"/>
  </w:num>
  <w:num w:numId="17" w16cid:durableId="1874731883">
    <w:abstractNumId w:val="22"/>
  </w:num>
  <w:num w:numId="18" w16cid:durableId="1199388782">
    <w:abstractNumId w:val="10"/>
  </w:num>
  <w:num w:numId="19" w16cid:durableId="390345083">
    <w:abstractNumId w:val="19"/>
  </w:num>
  <w:num w:numId="20" w16cid:durableId="858197102">
    <w:abstractNumId w:val="17"/>
  </w:num>
  <w:num w:numId="21" w16cid:durableId="1433551176">
    <w:abstractNumId w:val="1"/>
  </w:num>
  <w:num w:numId="22" w16cid:durableId="1491797411">
    <w:abstractNumId w:val="3"/>
  </w:num>
  <w:num w:numId="23" w16cid:durableId="1188761081">
    <w:abstractNumId w:val="20"/>
  </w:num>
  <w:num w:numId="24" w16cid:durableId="488518912">
    <w:abstractNumId w:val="0"/>
  </w:num>
  <w:num w:numId="25" w16cid:durableId="88660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06C55"/>
    <w:rsid w:val="000274AF"/>
    <w:rsid w:val="00086710"/>
    <w:rsid w:val="00150443"/>
    <w:rsid w:val="00152E06"/>
    <w:rsid w:val="00192D8A"/>
    <w:rsid w:val="00222CB4"/>
    <w:rsid w:val="00287C94"/>
    <w:rsid w:val="002B351E"/>
    <w:rsid w:val="002C43B0"/>
    <w:rsid w:val="002E7252"/>
    <w:rsid w:val="003309CA"/>
    <w:rsid w:val="00336204"/>
    <w:rsid w:val="003C1F8E"/>
    <w:rsid w:val="003C3B17"/>
    <w:rsid w:val="00426EDF"/>
    <w:rsid w:val="00477C20"/>
    <w:rsid w:val="004D30F0"/>
    <w:rsid w:val="00516C94"/>
    <w:rsid w:val="00533812"/>
    <w:rsid w:val="005413CA"/>
    <w:rsid w:val="00541431"/>
    <w:rsid w:val="00561B5C"/>
    <w:rsid w:val="00581D3C"/>
    <w:rsid w:val="00584E89"/>
    <w:rsid w:val="00585320"/>
    <w:rsid w:val="005C0020"/>
    <w:rsid w:val="005C0CE7"/>
    <w:rsid w:val="005C7FFC"/>
    <w:rsid w:val="005E07CD"/>
    <w:rsid w:val="006027CD"/>
    <w:rsid w:val="00605891"/>
    <w:rsid w:val="0065377E"/>
    <w:rsid w:val="00661EAF"/>
    <w:rsid w:val="00667838"/>
    <w:rsid w:val="00690495"/>
    <w:rsid w:val="00696BE2"/>
    <w:rsid w:val="006B2FB8"/>
    <w:rsid w:val="006B354A"/>
    <w:rsid w:val="006B5D91"/>
    <w:rsid w:val="006D4CD1"/>
    <w:rsid w:val="006E524F"/>
    <w:rsid w:val="007808B0"/>
    <w:rsid w:val="00782314"/>
    <w:rsid w:val="007A5F11"/>
    <w:rsid w:val="007D7407"/>
    <w:rsid w:val="0080562D"/>
    <w:rsid w:val="00833156"/>
    <w:rsid w:val="0084532D"/>
    <w:rsid w:val="00857173"/>
    <w:rsid w:val="00887099"/>
    <w:rsid w:val="008877C2"/>
    <w:rsid w:val="008A03CF"/>
    <w:rsid w:val="00934EAD"/>
    <w:rsid w:val="00954AF8"/>
    <w:rsid w:val="00986E5D"/>
    <w:rsid w:val="00A16F35"/>
    <w:rsid w:val="00A24223"/>
    <w:rsid w:val="00A5684C"/>
    <w:rsid w:val="00AA1C20"/>
    <w:rsid w:val="00AB049B"/>
    <w:rsid w:val="00AD5757"/>
    <w:rsid w:val="00AF1D04"/>
    <w:rsid w:val="00B22797"/>
    <w:rsid w:val="00B3465E"/>
    <w:rsid w:val="00B9669C"/>
    <w:rsid w:val="00BB1FFD"/>
    <w:rsid w:val="00BD6DF2"/>
    <w:rsid w:val="00C1515C"/>
    <w:rsid w:val="00C608E4"/>
    <w:rsid w:val="00CA04A0"/>
    <w:rsid w:val="00CA1E33"/>
    <w:rsid w:val="00CA2A1A"/>
    <w:rsid w:val="00CF49F1"/>
    <w:rsid w:val="00D10757"/>
    <w:rsid w:val="00D31D27"/>
    <w:rsid w:val="00D5294C"/>
    <w:rsid w:val="00DF37F3"/>
    <w:rsid w:val="00E23E29"/>
    <w:rsid w:val="00E24F08"/>
    <w:rsid w:val="00E5095B"/>
    <w:rsid w:val="00E603A0"/>
    <w:rsid w:val="00EC4AA6"/>
    <w:rsid w:val="00F030BA"/>
    <w:rsid w:val="00F36B5F"/>
    <w:rsid w:val="00F5483A"/>
    <w:rsid w:val="00F610EE"/>
    <w:rsid w:val="00FC5F7D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3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wp-content/uploads/2023/12/2024-Explanation-of-Supplemental-Benefits.pdf" TargetMode="External"/><Relationship Id="rId13" Type="http://schemas.openxmlformats.org/officeDocument/2006/relationships/hyperlink" Target="https://carecoordination.bluecrossmn.com/wp-content/uploads/2024/04/BLUE-PLUS-MSHO-SUP-BENEFITS-REFERRAL-FORM-CHM-04.05.2024.pdf" TargetMode="External"/><Relationship Id="rId18" Type="http://schemas.openxmlformats.org/officeDocument/2006/relationships/hyperlink" Target="mailto:LSSHealthyTransitions@lssmn.or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arecoordination.bluecrossmn.com/wp-content/uploads/2024/02/BCBS-MN-MSHO-Referral-Form-NourishedRx-updated-2.8.2024.pdf" TargetMode="External"/><Relationship Id="rId7" Type="http://schemas.openxmlformats.org/officeDocument/2006/relationships/hyperlink" Target="https://carecoordination.bluecrossmn.com/msho/secureblue-msho-supplemental-benefits/" TargetMode="External"/><Relationship Id="rId12" Type="http://schemas.openxmlformats.org/officeDocument/2006/relationships/hyperlink" Target="https://secureblue.ceresticaregiver.com/" TargetMode="External"/><Relationship Id="rId17" Type="http://schemas.openxmlformats.org/officeDocument/2006/relationships/hyperlink" Target="https://yourjuniper.org/" TargetMode="External"/><Relationship Id="rId25" Type="http://schemas.openxmlformats.org/officeDocument/2006/relationships/hyperlink" Target="mailto:jenna.rangel@bluecrossm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coordination.bluecrossmn.com/wp-content/uploads/2022/12/Dose-BCBS-referral-form-12.15.22.pdf" TargetMode="External"/><Relationship Id="rId20" Type="http://schemas.openxmlformats.org/officeDocument/2006/relationships/hyperlink" Target="mailto:LSSHealthyTransitions@lssm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coordination.bluecrossmn.com/wp-content/uploads/2023/06/BCBS_Ceresti-IntakeForm_6-16-23.pdf" TargetMode="External"/><Relationship Id="rId24" Type="http://schemas.openxmlformats.org/officeDocument/2006/relationships/hyperlink" Target="https://tools.silversneaker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dosehealth.com" TargetMode="External"/><Relationship Id="rId23" Type="http://schemas.openxmlformats.org/officeDocument/2006/relationships/hyperlink" Target="mailto:apalamari@qmedichealth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ldefense.com/v3/__https:/www.alliancemusictherapy.com/bcbsreferralform__;!!CwIvYz4dIaSa!OkHyfKot1vCAYaV763kZe03P01EcfuJqVwpCtbWooUY7HiFqfataZeZhza_vV-FjmvX-2ctCe8At9tRjPb0S6To4LPDmg_A$" TargetMode="External"/><Relationship Id="rId19" Type="http://schemas.openxmlformats.org/officeDocument/2006/relationships/hyperlink" Target="https://carecoordination.bluecrossmn.com/wp-content/uploads/2024/01/BluePlus-LSS_ReferralForm-All-Services-2024-Updat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wp-content/uploads/2024/03/2024-SecureBlue-MSHO-Supplemental-Benefits-Grid_3-1-24.pdf" TargetMode="External"/><Relationship Id="rId14" Type="http://schemas.openxmlformats.org/officeDocument/2006/relationships/hyperlink" Target="https://urldefense.com/v3/__https:/www.dosehealth.com/referrals__;!!CwIvYz4dIaSa!KO63p-pDUWbf5SoBb7nuOsEw3AXPWxRO4x-AzirJ0FWyjXbZpZVjuS917icNpC8BvkKCj8t6fHTX0YUA0gb_Tt2OBQ$" TargetMode="External"/><Relationship Id="rId22" Type="http://schemas.openxmlformats.org/officeDocument/2006/relationships/hyperlink" Target="https://carecoordination.bluecrossmn.com/wp-content/uploads/2024/01/QMedic-Referral-Form-2024-BCBS-MN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1434</Words>
  <Characters>8174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3</cp:revision>
  <cp:lastPrinted>2023-04-13T19:37:00Z</cp:lastPrinted>
  <dcterms:created xsi:type="dcterms:W3CDTF">2024-06-04T18:29:00Z</dcterms:created>
  <dcterms:modified xsi:type="dcterms:W3CDTF">2024-06-04T18:29:00Z</dcterms:modified>
</cp:coreProperties>
</file>