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32E95DAE" w14:textId="77777777" w:rsidR="00424A28" w:rsidRDefault="00424A28" w:rsidP="00150443">
            <w:pPr>
              <w:spacing w:before="60" w:after="60"/>
              <w:jc w:val="center"/>
              <w:rPr>
                <w:noProof/>
                <w:sz w:val="24"/>
                <w:szCs w:val="24"/>
              </w:rPr>
            </w:pPr>
          </w:p>
          <w:p w14:paraId="133F3DB8" w14:textId="2748E797" w:rsidR="00CA04A0" w:rsidRPr="00150443" w:rsidRDefault="00424A28" w:rsidP="00150443">
            <w:pPr>
              <w:spacing w:before="60" w:after="60"/>
              <w:jc w:val="center"/>
              <w:rPr>
                <w:sz w:val="24"/>
                <w:szCs w:val="24"/>
              </w:rPr>
            </w:pPr>
            <w:r>
              <w:rPr>
                <w:noProof/>
                <w:sz w:val="24"/>
                <w:szCs w:val="24"/>
              </w:rPr>
              <w:drawing>
                <wp:inline distT="0" distB="0" distL="0" distR="0" wp14:anchorId="0B21EB04" wp14:editId="228FFD7C">
                  <wp:extent cx="3914775" cy="771525"/>
                  <wp:effectExtent l="0" t="0" r="9525" b="9525"/>
                  <wp:docPr id="11736395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p w14:paraId="7E7E835F" w14:textId="407A1108" w:rsidR="00424A28" w:rsidRPr="00DF3F00" w:rsidRDefault="00424A28" w:rsidP="00424A28">
            <w:pPr>
              <w:keepNext/>
              <w:spacing w:before="240" w:after="120" w:line="264" w:lineRule="auto"/>
              <w:outlineLvl w:val="2"/>
              <w:rPr>
                <w:rFonts w:ascii="Calibri" w:eastAsia="Times New Roman" w:hAnsi="Calibri" w:cs="Calibri"/>
                <w:b/>
                <w:bCs/>
                <w:color w:val="2F5496" w:themeColor="accent1" w:themeShade="BF"/>
                <w:sz w:val="26"/>
                <w:szCs w:val="26"/>
              </w:rPr>
            </w:pPr>
          </w:p>
          <w:p w14:paraId="7AA62316" w14:textId="144E4A31" w:rsidR="00424A28" w:rsidRPr="00C01444" w:rsidRDefault="00424A28" w:rsidP="00DF3F00">
            <w:pPr>
              <w:keepNext/>
              <w:spacing w:after="120" w:line="264" w:lineRule="auto"/>
              <w:jc w:val="center"/>
              <w:outlineLvl w:val="2"/>
              <w:rPr>
                <w:rFonts w:ascii="Calibri" w:eastAsia="Times New Roman" w:hAnsi="Calibri" w:cs="Calibri"/>
                <w:b/>
                <w:bCs/>
                <w:color w:val="FF0000"/>
                <w:sz w:val="28"/>
                <w:szCs w:val="28"/>
                <w:u w:val="single"/>
              </w:rPr>
            </w:pPr>
            <w:r w:rsidRPr="00C01444">
              <w:rPr>
                <w:rFonts w:ascii="Calibri" w:eastAsia="Times New Roman" w:hAnsi="Calibri" w:cs="Calibri"/>
                <w:b/>
                <w:bCs/>
                <w:color w:val="FF0000"/>
                <w:sz w:val="28"/>
                <w:szCs w:val="28"/>
                <w:u w:val="single"/>
              </w:rPr>
              <w:t>The MnCHOICES revision is moving to Phase 4 (final transition period) of its launch.</w:t>
            </w:r>
          </w:p>
          <w:p w14:paraId="529D0E5C" w14:textId="77777777" w:rsidR="00424A28" w:rsidRPr="0098338B" w:rsidRDefault="00424A28" w:rsidP="00DF3F00">
            <w:pPr>
              <w:spacing w:before="180" w:after="180"/>
              <w:rPr>
                <w:rFonts w:eastAsia="Aptos" w:cstheme="minorHAnsi"/>
                <w:color w:val="000000"/>
              </w:rPr>
            </w:pPr>
            <w:r w:rsidRPr="0098338B">
              <w:rPr>
                <w:rFonts w:eastAsia="Aptos" w:cstheme="minorHAnsi"/>
                <w:color w:val="000000"/>
              </w:rPr>
              <w:t>This phase is scheduled to run from July 1 to Sept. 30, 2024, during which lead agencies should:</w:t>
            </w:r>
          </w:p>
          <w:p w14:paraId="6E3CB390" w14:textId="77777777" w:rsidR="00424A28" w:rsidRPr="0098338B" w:rsidRDefault="00424A28" w:rsidP="00DF3F00">
            <w:pPr>
              <w:numPr>
                <w:ilvl w:val="0"/>
                <w:numId w:val="17"/>
              </w:numPr>
              <w:spacing w:before="200"/>
              <w:contextualSpacing/>
              <w:rPr>
                <w:rFonts w:eastAsia="Aptos" w:cstheme="minorHAnsi"/>
              </w:rPr>
            </w:pPr>
            <w:r w:rsidRPr="0098338B">
              <w:rPr>
                <w:rFonts w:eastAsia="Aptos" w:cstheme="minorHAnsi"/>
              </w:rPr>
              <w:t>Have </w:t>
            </w:r>
            <w:r w:rsidRPr="0098338B">
              <w:rPr>
                <w:rFonts w:eastAsia="Aptos" w:cstheme="minorHAnsi"/>
                <w:b/>
                <w:bCs/>
              </w:rPr>
              <w:t>100%</w:t>
            </w:r>
            <w:r w:rsidRPr="0098338B">
              <w:rPr>
                <w:rFonts w:eastAsia="Aptos" w:cstheme="minorHAnsi"/>
              </w:rPr>
              <w:t> of staff members conduct </w:t>
            </w:r>
            <w:r w:rsidRPr="0098338B">
              <w:rPr>
                <w:rFonts w:eastAsia="Aptos" w:cstheme="minorHAnsi"/>
                <w:b/>
                <w:bCs/>
              </w:rPr>
              <w:t>all</w:t>
            </w:r>
            <w:r w:rsidRPr="0098338B">
              <w:rPr>
                <w:rFonts w:eastAsia="Aptos" w:cstheme="minorHAnsi"/>
              </w:rPr>
              <w:t> work in MnCHOICES revision.</w:t>
            </w:r>
          </w:p>
          <w:p w14:paraId="29C19AD8" w14:textId="77777777" w:rsidR="00424A28" w:rsidRPr="0098338B" w:rsidRDefault="00424A28" w:rsidP="00DF3F00">
            <w:pPr>
              <w:numPr>
                <w:ilvl w:val="0"/>
                <w:numId w:val="17"/>
              </w:numPr>
              <w:spacing w:before="200"/>
              <w:contextualSpacing/>
              <w:rPr>
                <w:rFonts w:eastAsia="Aptos" w:cstheme="minorHAnsi"/>
              </w:rPr>
            </w:pPr>
            <w:r w:rsidRPr="0098338B">
              <w:rPr>
                <w:rFonts w:eastAsia="Aptos" w:cstheme="minorHAnsi"/>
              </w:rPr>
              <w:t xml:space="preserve">Finish all existing assessments and support plans in legacy systems by Sept. 30, 2024. MnCHOICES 1.0 Assessment (MnA) and Support Plan (MnSP) not completed and closed by Sept. 30, 2024, will </w:t>
            </w:r>
            <w:r w:rsidRPr="0098338B">
              <w:rPr>
                <w:rFonts w:eastAsia="Aptos" w:cstheme="minorHAnsi"/>
                <w:b/>
                <w:bCs/>
                <w:u w:val="single"/>
              </w:rPr>
              <w:t xml:space="preserve">not </w:t>
            </w:r>
            <w:r w:rsidRPr="0098338B">
              <w:rPr>
                <w:rFonts w:eastAsia="Aptos" w:cstheme="minorHAnsi"/>
              </w:rPr>
              <w:t>migrate to MnCHOICES revision.</w:t>
            </w:r>
          </w:p>
          <w:p w14:paraId="035E09F1" w14:textId="77777777" w:rsidR="00424A28" w:rsidRPr="0098338B" w:rsidRDefault="00424A28" w:rsidP="00DF3F00">
            <w:pPr>
              <w:spacing w:before="180" w:after="180"/>
              <w:rPr>
                <w:rFonts w:eastAsia="Aptos" w:cstheme="minorHAnsi"/>
                <w:color w:val="000000"/>
              </w:rPr>
            </w:pPr>
            <w:r w:rsidRPr="0098338B">
              <w:rPr>
                <w:rFonts w:eastAsia="Aptos" w:cstheme="minorHAnsi"/>
                <w:color w:val="000000"/>
              </w:rPr>
              <w:t xml:space="preserve">Effective Oct. 1, 2024, legacy systems, including </w:t>
            </w:r>
            <w:bookmarkStart w:id="0" w:name="_Hlk169076123"/>
            <w:r w:rsidRPr="0098338B">
              <w:rPr>
                <w:rFonts w:eastAsia="Aptos" w:cstheme="minorHAnsi"/>
                <w:color w:val="000000"/>
              </w:rPr>
              <w:t>MnCHOICES 1.0 Assessment (MnA) and Support Plan (MnSP)</w:t>
            </w:r>
            <w:bookmarkEnd w:id="0"/>
            <w:r w:rsidRPr="0098338B">
              <w:rPr>
                <w:rFonts w:eastAsia="Aptos" w:cstheme="minorHAnsi"/>
                <w:color w:val="000000"/>
              </w:rPr>
              <w:t>, will no longer be available.</w:t>
            </w:r>
          </w:p>
          <w:p w14:paraId="49B0223D" w14:textId="77777777" w:rsidR="00424A28" w:rsidRPr="0098338B" w:rsidRDefault="00424A28" w:rsidP="00DF3F00">
            <w:pPr>
              <w:spacing w:before="200" w:after="200" w:line="264" w:lineRule="auto"/>
              <w:rPr>
                <w:rFonts w:eastAsia="Aptos" w:cstheme="minorHAnsi"/>
              </w:rPr>
            </w:pPr>
            <w:r w:rsidRPr="0098338B">
              <w:rPr>
                <w:rFonts w:eastAsia="Aptos" w:cstheme="minorHAnsi"/>
              </w:rPr>
              <w:t xml:space="preserve">To read the complete announcement: </w:t>
            </w:r>
            <w:hyperlink r:id="rId9" w:history="1">
              <w:r w:rsidRPr="0098338B">
                <w:rPr>
                  <w:rFonts w:eastAsia="Aptos" w:cstheme="minorHAnsi"/>
                  <w:color w:val="0563C1"/>
                  <w:u w:val="single"/>
                </w:rPr>
                <w:t>AASD and DSD eList: Phase 4 of the MnCHOICES revision launch will begin on July 1, 2024</w:t>
              </w:r>
            </w:hyperlink>
            <w:r w:rsidRPr="0098338B">
              <w:rPr>
                <w:rFonts w:eastAsia="Aptos" w:cstheme="minorHAnsi"/>
              </w:rPr>
              <w:t>.</w:t>
            </w:r>
          </w:p>
          <w:p w14:paraId="051E6723" w14:textId="77777777" w:rsidR="00424A28" w:rsidRPr="00C01444" w:rsidRDefault="00424A28" w:rsidP="00DF3F00">
            <w:pPr>
              <w:keepNext/>
              <w:spacing w:after="120" w:line="264" w:lineRule="auto"/>
              <w:jc w:val="center"/>
              <w:outlineLvl w:val="2"/>
              <w:rPr>
                <w:rFonts w:ascii="Calibri" w:eastAsia="Times New Roman" w:hAnsi="Calibri" w:cs="Calibri"/>
                <w:b/>
                <w:bCs/>
                <w:color w:val="FF0000"/>
                <w:sz w:val="28"/>
                <w:szCs w:val="28"/>
                <w:u w:val="single"/>
              </w:rPr>
            </w:pPr>
            <w:bookmarkStart w:id="1" w:name="_Hlk169075977"/>
            <w:r w:rsidRPr="00C01444">
              <w:rPr>
                <w:rFonts w:ascii="Calibri" w:eastAsia="Times New Roman" w:hAnsi="Calibri" w:cs="Calibri"/>
                <w:b/>
                <w:bCs/>
                <w:color w:val="FF0000"/>
                <w:sz w:val="28"/>
                <w:szCs w:val="28"/>
                <w:u w:val="single"/>
              </w:rPr>
              <w:t>MnCHOICES 1.0 Support Plan (MnSP) new access requests discontinued on July 1, 2024.</w:t>
            </w:r>
          </w:p>
          <w:p w14:paraId="7A676F8B" w14:textId="77777777" w:rsidR="00424A28" w:rsidRPr="0098338B" w:rsidRDefault="00424A28" w:rsidP="00DF3F00">
            <w:pPr>
              <w:spacing w:before="200" w:after="200" w:line="264" w:lineRule="auto"/>
              <w:rPr>
                <w:rFonts w:ascii="Calibri" w:eastAsia="Aptos" w:hAnsi="Calibri" w:cs="Calibri"/>
              </w:rPr>
            </w:pPr>
            <w:r w:rsidRPr="0098338B">
              <w:rPr>
                <w:rFonts w:ascii="Calibri" w:eastAsia="Aptos" w:hAnsi="Calibri" w:cs="Calibri"/>
              </w:rPr>
              <w:t>Existing staff will only work in MnSP legacy to complete and close their CSP/CSSP and rate plan work. Newly hired staff must be given access to revised MnCHOICES only.</w:t>
            </w:r>
          </w:p>
          <w:p w14:paraId="149A3BCD" w14:textId="586E39F3" w:rsidR="00CA04A0" w:rsidRPr="0098338B" w:rsidRDefault="00424A28" w:rsidP="007F63D1">
            <w:pPr>
              <w:spacing w:before="200" w:after="200" w:line="264" w:lineRule="auto"/>
              <w:rPr>
                <w:rFonts w:ascii="Calibri" w:eastAsia="Aptos" w:hAnsi="Calibri" w:cs="Calibri"/>
              </w:rPr>
            </w:pPr>
            <w:r w:rsidRPr="0098338B">
              <w:rPr>
                <w:rFonts w:ascii="Calibri" w:eastAsia="Aptos" w:hAnsi="Calibri" w:cs="Calibri"/>
              </w:rPr>
              <w:t xml:space="preserve">Starting July 1, 2024 the MN Service Hub, SSAM Access Request ticket will no longer have an option to select access for the MnCHOICES Support Plan legacy application (MnSP). </w:t>
            </w:r>
            <w:bookmarkEnd w:id="1"/>
          </w:p>
          <w:p w14:paraId="7BF4E5CF" w14:textId="77777777" w:rsidR="00CA04A0" w:rsidRPr="00C01444" w:rsidRDefault="00CA04A0" w:rsidP="00CA04A0">
            <w:pPr>
              <w:rPr>
                <w:sz w:val="24"/>
                <w:szCs w:val="24"/>
              </w:rPr>
            </w:pPr>
          </w:p>
          <w:p w14:paraId="7D213B32" w14:textId="77777777" w:rsidR="00CA04A0" w:rsidRPr="00C01444" w:rsidRDefault="00CA04A0" w:rsidP="00CA04A0">
            <w:pPr>
              <w:rPr>
                <w:sz w:val="24"/>
                <w:szCs w:val="24"/>
              </w:rPr>
            </w:pPr>
          </w:p>
          <w:p w14:paraId="7EE8D6E2" w14:textId="77777777" w:rsidR="00CA04A0" w:rsidRPr="00C01444" w:rsidRDefault="00CA04A0" w:rsidP="00CA04A0">
            <w:pPr>
              <w:rPr>
                <w:sz w:val="24"/>
                <w:szCs w:val="24"/>
              </w:rPr>
            </w:pPr>
          </w:p>
          <w:p w14:paraId="26961A6D" w14:textId="2E98D5CF" w:rsidR="00CA04A0" w:rsidRPr="00F12156" w:rsidRDefault="00424A28" w:rsidP="00F12156">
            <w:pPr>
              <w:jc w:val="center"/>
              <w:rPr>
                <w:color w:val="FF0000"/>
                <w:sz w:val="28"/>
                <w:szCs w:val="28"/>
                <w:u w:val="single"/>
              </w:rPr>
            </w:pPr>
            <w:r w:rsidRPr="00C01444">
              <w:rPr>
                <w:rFonts w:ascii="Calibri" w:eastAsia="Times New Roman" w:hAnsi="Calibri" w:cs="Calibri"/>
                <w:b/>
                <w:bCs/>
                <w:color w:val="FF0000"/>
                <w:sz w:val="32"/>
                <w:szCs w:val="32"/>
                <w:u w:val="single"/>
              </w:rPr>
              <w:lastRenderedPageBreak/>
              <w:t>MCO enhancement for the Health Risk Assessment Support Plan (SP-HRA</w:t>
            </w:r>
            <w:r w:rsidR="007B64F7">
              <w:rPr>
                <w:rFonts w:ascii="Calibri" w:eastAsia="Times New Roman" w:hAnsi="Calibri" w:cs="Calibri"/>
                <w:b/>
                <w:bCs/>
                <w:color w:val="FF0000"/>
                <w:sz w:val="32"/>
                <w:szCs w:val="32"/>
                <w:u w:val="single"/>
              </w:rPr>
              <w:t>)</w:t>
            </w:r>
          </w:p>
          <w:p w14:paraId="40137512" w14:textId="77777777" w:rsidR="00424A28" w:rsidRPr="00424A28" w:rsidRDefault="00424A28" w:rsidP="00C01444">
            <w:pPr>
              <w:keepNext/>
              <w:spacing w:before="200" w:line="264" w:lineRule="auto"/>
              <w:outlineLvl w:val="1"/>
              <w:rPr>
                <w:rFonts w:ascii="Calibri" w:eastAsia="Times New Roman" w:hAnsi="Calibri" w:cs="Calibri"/>
                <w:b/>
                <w:bCs/>
                <w:color w:val="4472C4"/>
                <w:sz w:val="28"/>
                <w:szCs w:val="28"/>
              </w:rPr>
            </w:pPr>
            <w:r w:rsidRPr="00424A28">
              <w:rPr>
                <w:rFonts w:ascii="Calibri" w:eastAsia="Times New Roman" w:hAnsi="Calibri" w:cs="Calibri"/>
                <w:b/>
                <w:bCs/>
                <w:color w:val="4472C4"/>
                <w:sz w:val="28"/>
                <w:szCs w:val="28"/>
              </w:rPr>
              <w:t xml:space="preserve">Purpose: </w:t>
            </w:r>
          </w:p>
          <w:p w14:paraId="457EF720" w14:textId="75AE6F14" w:rsidR="00424A28" w:rsidRPr="0098338B" w:rsidRDefault="00424A28" w:rsidP="00C01444">
            <w:pPr>
              <w:spacing w:after="200" w:line="264" w:lineRule="auto"/>
              <w:rPr>
                <w:rFonts w:ascii="Calibri" w:eastAsia="Aptos" w:hAnsi="Calibri" w:cs="Calibri"/>
              </w:rPr>
            </w:pPr>
            <w:r w:rsidRPr="0098338B">
              <w:rPr>
                <w:rFonts w:ascii="Calibri" w:eastAsia="Aptos" w:hAnsi="Calibri" w:cs="Calibri"/>
              </w:rPr>
              <w:t>The HRA Program and Support Plan service definitions are now available for the SP-HRA. This new functionality supports MCO processes by ensuring all SP-HRA forms include the correct program and services associated with those plans. This enhancement is the result of prioritization by the MnCHOICES Input Group (IG) and System Governance Group (SGG).</w:t>
            </w:r>
          </w:p>
          <w:p w14:paraId="32DB5A52" w14:textId="6A9C9F1E" w:rsidR="00424A28" w:rsidRPr="0098338B" w:rsidRDefault="00424A28" w:rsidP="00F12156">
            <w:pPr>
              <w:keepNext/>
              <w:spacing w:before="200" w:line="264" w:lineRule="auto"/>
              <w:outlineLvl w:val="1"/>
              <w:rPr>
                <w:rFonts w:ascii="Calibri" w:eastAsia="Times New Roman" w:hAnsi="Calibri" w:cs="Calibri"/>
              </w:rPr>
            </w:pPr>
            <w:r w:rsidRPr="0098338B">
              <w:rPr>
                <w:rFonts w:ascii="Calibri" w:eastAsia="Aptos" w:hAnsi="Calibri" w:cs="Calibri"/>
              </w:rPr>
              <w:t xml:space="preserve">This change only applies to SNBC and MSHO/MSC+ care coordinators who create support plans associated with an HRA. </w:t>
            </w:r>
            <w:r w:rsidR="00F12156" w:rsidRPr="0098338B">
              <w:rPr>
                <w:rFonts w:ascii="Calibri" w:eastAsia="Times New Roman" w:hAnsi="Calibri" w:cs="Calibri"/>
              </w:rPr>
              <w:t xml:space="preserve">Additional instruction can be found in the </w:t>
            </w:r>
            <w:hyperlink r:id="rId10" w:history="1">
              <w:r w:rsidR="00F12156" w:rsidRPr="0098338B">
                <w:rPr>
                  <w:rStyle w:val="Hyperlink"/>
                  <w:rFonts w:ascii="Calibri" w:eastAsia="Times New Roman" w:hAnsi="Calibri" w:cs="Calibri"/>
                </w:rPr>
                <w:t>slides from the MnCHOICES MCO call-in session</w:t>
              </w:r>
            </w:hyperlink>
            <w:r w:rsidR="00F12156" w:rsidRPr="0098338B">
              <w:rPr>
                <w:rFonts w:ascii="Calibri" w:eastAsia="Times New Roman" w:hAnsi="Calibri" w:cs="Calibri"/>
              </w:rPr>
              <w:t xml:space="preserve"> held on June 20</w:t>
            </w:r>
            <w:r w:rsidR="00F12156" w:rsidRPr="0098338B">
              <w:rPr>
                <w:rFonts w:ascii="Calibri" w:eastAsia="Times New Roman" w:hAnsi="Calibri" w:cs="Calibri"/>
                <w:vertAlign w:val="superscript"/>
              </w:rPr>
              <w:t>th.</w:t>
            </w:r>
          </w:p>
          <w:p w14:paraId="2C02DF4D" w14:textId="77777777" w:rsidR="007B64F7" w:rsidRDefault="007B64F7" w:rsidP="00C01444">
            <w:pPr>
              <w:keepNext/>
              <w:spacing w:before="200" w:line="264" w:lineRule="auto"/>
              <w:outlineLvl w:val="1"/>
              <w:rPr>
                <w:rFonts w:ascii="Calibri" w:eastAsia="Times New Roman" w:hAnsi="Calibri" w:cs="Calibri"/>
                <w:b/>
                <w:bCs/>
                <w:color w:val="4472C4"/>
                <w:sz w:val="28"/>
                <w:szCs w:val="28"/>
              </w:rPr>
            </w:pPr>
          </w:p>
          <w:p w14:paraId="2424D182" w14:textId="40DAFC03" w:rsidR="00424A28" w:rsidRPr="00424A28" w:rsidRDefault="00424A28" w:rsidP="00C01444">
            <w:pPr>
              <w:keepNext/>
              <w:spacing w:before="200" w:line="264" w:lineRule="auto"/>
              <w:outlineLvl w:val="1"/>
              <w:rPr>
                <w:rFonts w:ascii="Calibri" w:eastAsia="Times New Roman" w:hAnsi="Calibri" w:cs="Calibri"/>
                <w:b/>
                <w:bCs/>
                <w:color w:val="4472C4"/>
                <w:sz w:val="28"/>
                <w:szCs w:val="28"/>
              </w:rPr>
            </w:pPr>
            <w:r w:rsidRPr="00424A28">
              <w:rPr>
                <w:rFonts w:ascii="Calibri" w:eastAsia="Times New Roman" w:hAnsi="Calibri" w:cs="Calibri"/>
                <w:b/>
                <w:bCs/>
                <w:color w:val="4472C4"/>
                <w:sz w:val="28"/>
                <w:szCs w:val="28"/>
              </w:rPr>
              <w:t xml:space="preserve">Information for care coordinators: </w:t>
            </w:r>
          </w:p>
          <w:p w14:paraId="33863A46" w14:textId="77777777" w:rsidR="00424A28" w:rsidRPr="0098338B" w:rsidRDefault="00424A28" w:rsidP="00C01444">
            <w:pPr>
              <w:spacing w:line="264" w:lineRule="auto"/>
              <w:rPr>
                <w:rFonts w:eastAsia="Aptos" w:cstheme="minorHAnsi"/>
              </w:rPr>
            </w:pPr>
            <w:r w:rsidRPr="0098338B">
              <w:rPr>
                <w:rFonts w:eastAsia="Aptos" w:cstheme="minorHAnsi"/>
              </w:rPr>
              <w:t>With the May 31 release, two enhancements were implemented to the SP-HRA:</w:t>
            </w:r>
          </w:p>
          <w:p w14:paraId="3F76654C" w14:textId="77777777" w:rsidR="00424A28" w:rsidRPr="0098338B" w:rsidRDefault="00424A28" w:rsidP="00C01444">
            <w:pPr>
              <w:numPr>
                <w:ilvl w:val="0"/>
                <w:numId w:val="18"/>
              </w:numPr>
              <w:spacing w:before="200" w:after="200" w:line="264" w:lineRule="auto"/>
              <w:contextualSpacing/>
              <w:rPr>
                <w:rFonts w:eastAsia="Aptos" w:cstheme="minorHAnsi"/>
              </w:rPr>
            </w:pPr>
            <w:r w:rsidRPr="0098338B">
              <w:rPr>
                <w:rFonts w:eastAsia="Aptos" w:cstheme="minorHAnsi"/>
              </w:rPr>
              <w:t>‘Health Risk Assessment (HRA)’ is a Program option</w:t>
            </w:r>
          </w:p>
          <w:p w14:paraId="3C18F498" w14:textId="77777777" w:rsidR="00424A28" w:rsidRPr="0098338B" w:rsidRDefault="00424A28" w:rsidP="00C01444">
            <w:pPr>
              <w:numPr>
                <w:ilvl w:val="0"/>
                <w:numId w:val="18"/>
              </w:numPr>
              <w:spacing w:before="200" w:after="200" w:line="264" w:lineRule="auto"/>
              <w:contextualSpacing/>
              <w:rPr>
                <w:rFonts w:eastAsia="Aptos" w:cstheme="minorHAnsi"/>
              </w:rPr>
            </w:pPr>
            <w:r w:rsidRPr="0098338B">
              <w:rPr>
                <w:rFonts w:eastAsia="Aptos" w:cstheme="minorHAnsi"/>
              </w:rPr>
              <w:t xml:space="preserve">Services associated with an HRA are now available </w:t>
            </w:r>
          </w:p>
          <w:p w14:paraId="246C38D9" w14:textId="77777777" w:rsidR="00424A28" w:rsidRPr="0098338B" w:rsidRDefault="00424A28" w:rsidP="00C01444">
            <w:pPr>
              <w:spacing w:after="200" w:line="264" w:lineRule="auto"/>
              <w:rPr>
                <w:rFonts w:eastAsia="Aptos" w:cstheme="minorHAnsi"/>
              </w:rPr>
            </w:pPr>
            <w:r w:rsidRPr="0098338B">
              <w:rPr>
                <w:rFonts w:eastAsia="Aptos" w:cstheme="minorHAnsi"/>
              </w:rPr>
              <w:t xml:space="preserve">Care coordinators must use the Program ‘Health Risk Assessment (HRA)’ when creating support plans associated with an HRA. They will no longer select the Program ‘Other’. </w:t>
            </w:r>
          </w:p>
          <w:p w14:paraId="66CD9733" w14:textId="77777777" w:rsidR="00424A28" w:rsidRPr="0098338B" w:rsidRDefault="00424A28" w:rsidP="00C01444">
            <w:pPr>
              <w:spacing w:after="200" w:line="264" w:lineRule="auto"/>
              <w:rPr>
                <w:rFonts w:eastAsia="Aptos" w:cstheme="minorHAnsi"/>
              </w:rPr>
            </w:pPr>
            <w:r w:rsidRPr="0098338B">
              <w:rPr>
                <w:rFonts w:eastAsia="Aptos" w:cstheme="minorHAnsi"/>
              </w:rPr>
              <w:t>When creating a new SP-HRA, take the following steps:</w:t>
            </w:r>
          </w:p>
          <w:p w14:paraId="782E6C78" w14:textId="77777777" w:rsidR="00424A28" w:rsidRPr="0098338B" w:rsidRDefault="00424A28" w:rsidP="00C01444">
            <w:pPr>
              <w:numPr>
                <w:ilvl w:val="0"/>
                <w:numId w:val="19"/>
              </w:numPr>
              <w:spacing w:before="200" w:after="200" w:line="264" w:lineRule="auto"/>
              <w:contextualSpacing/>
              <w:rPr>
                <w:rFonts w:eastAsia="Aptos" w:cstheme="minorHAnsi"/>
              </w:rPr>
            </w:pPr>
            <w:r w:rsidRPr="0098338B">
              <w:rPr>
                <w:rFonts w:eastAsia="Aptos" w:cstheme="minorHAnsi"/>
              </w:rPr>
              <w:t xml:space="preserve">From the New Form window make the below selections: </w:t>
            </w:r>
          </w:p>
          <w:p w14:paraId="28043BD8" w14:textId="77777777" w:rsidR="00424A28" w:rsidRPr="0098338B" w:rsidRDefault="00424A28" w:rsidP="00C01444">
            <w:pPr>
              <w:numPr>
                <w:ilvl w:val="0"/>
                <w:numId w:val="20"/>
              </w:numPr>
              <w:spacing w:before="200" w:after="200" w:line="264" w:lineRule="auto"/>
              <w:contextualSpacing/>
              <w:rPr>
                <w:rFonts w:eastAsia="Aptos" w:cstheme="minorHAnsi"/>
              </w:rPr>
            </w:pPr>
            <w:r w:rsidRPr="0098338B">
              <w:rPr>
                <w:rFonts w:eastAsia="Aptos" w:cstheme="minorHAnsi"/>
              </w:rPr>
              <w:t>Form Category: Support Plan</w:t>
            </w:r>
          </w:p>
          <w:p w14:paraId="457897DF" w14:textId="77777777" w:rsidR="00424A28" w:rsidRPr="0098338B" w:rsidRDefault="00424A28" w:rsidP="00C01444">
            <w:pPr>
              <w:numPr>
                <w:ilvl w:val="0"/>
                <w:numId w:val="20"/>
              </w:numPr>
              <w:spacing w:before="200" w:after="200" w:line="264" w:lineRule="auto"/>
              <w:contextualSpacing/>
              <w:rPr>
                <w:rFonts w:eastAsia="Aptos" w:cstheme="minorHAnsi"/>
              </w:rPr>
            </w:pPr>
            <w:r w:rsidRPr="0098338B">
              <w:rPr>
                <w:rFonts w:eastAsia="Aptos" w:cstheme="minorHAnsi"/>
              </w:rPr>
              <w:t>Form: Support Plan</w:t>
            </w:r>
          </w:p>
          <w:p w14:paraId="3E672E03" w14:textId="77777777" w:rsidR="00424A28" w:rsidRPr="0098338B" w:rsidRDefault="00424A28" w:rsidP="00C01444">
            <w:pPr>
              <w:numPr>
                <w:ilvl w:val="0"/>
                <w:numId w:val="20"/>
              </w:numPr>
              <w:spacing w:before="200" w:after="200" w:line="264" w:lineRule="auto"/>
              <w:contextualSpacing/>
              <w:rPr>
                <w:rFonts w:eastAsia="Aptos" w:cstheme="minorHAnsi"/>
              </w:rPr>
            </w:pPr>
            <w:r w:rsidRPr="0098338B">
              <w:rPr>
                <w:rFonts w:eastAsia="Aptos" w:cstheme="minorHAnsi"/>
              </w:rPr>
              <w:t>Program: Health Risk Assessment (HRA)</w:t>
            </w:r>
          </w:p>
          <w:p w14:paraId="175D076D" w14:textId="77777777" w:rsidR="00424A28" w:rsidRPr="0098338B" w:rsidRDefault="00424A28" w:rsidP="00C01444">
            <w:pPr>
              <w:numPr>
                <w:ilvl w:val="0"/>
                <w:numId w:val="20"/>
              </w:numPr>
              <w:spacing w:before="200" w:after="200" w:line="264" w:lineRule="auto"/>
              <w:contextualSpacing/>
              <w:rPr>
                <w:rFonts w:eastAsia="Aptos" w:cstheme="minorHAnsi"/>
              </w:rPr>
            </w:pPr>
            <w:r w:rsidRPr="0098338B">
              <w:rPr>
                <w:rFonts w:eastAsia="Aptos" w:cstheme="minorHAnsi"/>
              </w:rPr>
              <w:t>Is the person receiving other services: Yes</w:t>
            </w:r>
          </w:p>
          <w:p w14:paraId="66F2AE5F" w14:textId="77777777" w:rsidR="00424A28" w:rsidRPr="0098338B" w:rsidRDefault="00424A28" w:rsidP="00C01444">
            <w:pPr>
              <w:numPr>
                <w:ilvl w:val="0"/>
                <w:numId w:val="20"/>
              </w:numPr>
              <w:spacing w:before="200" w:after="200" w:line="264" w:lineRule="auto"/>
              <w:contextualSpacing/>
              <w:rPr>
                <w:rFonts w:eastAsia="Aptos" w:cstheme="minorHAnsi"/>
              </w:rPr>
            </w:pPr>
            <w:r w:rsidRPr="0098338B">
              <w:rPr>
                <w:rFonts w:eastAsia="Aptos" w:cstheme="minorHAnsi"/>
              </w:rPr>
              <w:t>Complete the remaining required fields.</w:t>
            </w:r>
          </w:p>
          <w:p w14:paraId="0718612F" w14:textId="77777777" w:rsidR="00424A28" w:rsidRPr="0098338B" w:rsidRDefault="00424A28" w:rsidP="00C01444">
            <w:pPr>
              <w:numPr>
                <w:ilvl w:val="0"/>
                <w:numId w:val="20"/>
              </w:numPr>
              <w:spacing w:before="200" w:after="200" w:line="264" w:lineRule="auto"/>
              <w:contextualSpacing/>
              <w:rPr>
                <w:rFonts w:eastAsia="Aptos" w:cstheme="minorHAnsi"/>
              </w:rPr>
            </w:pPr>
            <w:r w:rsidRPr="0098338B">
              <w:rPr>
                <w:rFonts w:eastAsia="Aptos" w:cstheme="minorHAnsi"/>
              </w:rPr>
              <w:t>Save: Select Save to create the SP-HRA form</w:t>
            </w:r>
          </w:p>
          <w:p w14:paraId="4D55066A" w14:textId="77777777" w:rsidR="00424A28" w:rsidRPr="00424A28" w:rsidRDefault="00424A28" w:rsidP="0098338B">
            <w:pPr>
              <w:spacing w:after="200" w:line="264" w:lineRule="auto"/>
              <w:jc w:val="center"/>
              <w:rPr>
                <w:rFonts w:ascii="Calibri" w:eastAsia="Aptos" w:hAnsi="Calibri" w:cs="Calibri"/>
                <w:sz w:val="24"/>
                <w:szCs w:val="24"/>
              </w:rPr>
            </w:pPr>
            <w:r w:rsidRPr="00424A28">
              <w:rPr>
                <w:rFonts w:ascii="Calibri" w:eastAsia="Aptos" w:hAnsi="Calibri" w:cs="Calibri"/>
                <w:noProof/>
                <w:sz w:val="24"/>
                <w:szCs w:val="24"/>
              </w:rPr>
              <w:lastRenderedPageBreak/>
              <w:drawing>
                <wp:inline distT="0" distB="0" distL="0" distR="0" wp14:anchorId="793CF94B" wp14:editId="0C47175A">
                  <wp:extent cx="3324225" cy="2555768"/>
                  <wp:effectExtent l="152400" t="152400" r="352425" b="359410"/>
                  <wp:docPr id="2" name="Picture 7" descr="Screenshot from MnCHOICES application showing a New Form - Create Form window with Health Risk Assessment (HRA) as an option in the Program dropdown men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from MnCHOICES application showing a New Form - Create Form window with Health Risk Assessment (HRA) as an option in the Program dropdown menu.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324922" cy="2556304"/>
                          </a:xfrm>
                          <a:prstGeom prst="rect">
                            <a:avLst/>
                          </a:prstGeom>
                          <a:ln>
                            <a:noFill/>
                          </a:ln>
                          <a:effectLst>
                            <a:outerShdw blurRad="292100" dist="139700" dir="2700000" algn="tl" rotWithShape="0">
                              <a:srgbClr val="333333">
                                <a:alpha val="65000"/>
                              </a:srgbClr>
                            </a:outerShdw>
                          </a:effectLst>
                        </pic:spPr>
                      </pic:pic>
                    </a:graphicData>
                  </a:graphic>
                </wp:inline>
              </w:drawing>
            </w:r>
          </w:p>
          <w:p w14:paraId="51E3EF24" w14:textId="77777777" w:rsidR="00424A28" w:rsidRPr="0098338B" w:rsidRDefault="00424A28" w:rsidP="00C01444">
            <w:pPr>
              <w:numPr>
                <w:ilvl w:val="0"/>
                <w:numId w:val="19"/>
              </w:numPr>
              <w:spacing w:before="200" w:after="200" w:line="264" w:lineRule="auto"/>
              <w:ind w:left="360"/>
              <w:contextualSpacing/>
              <w:rPr>
                <w:rFonts w:eastAsia="Aptos" w:cstheme="minorHAnsi"/>
              </w:rPr>
            </w:pPr>
            <w:r w:rsidRPr="0098338B">
              <w:rPr>
                <w:rFonts w:eastAsia="Aptos" w:cstheme="minorHAnsi"/>
              </w:rPr>
              <w:t xml:space="preserve">Add Waiver Provider under My Supports: </w:t>
            </w:r>
          </w:p>
          <w:p w14:paraId="305A21BA" w14:textId="77777777" w:rsidR="00424A28" w:rsidRPr="0098338B" w:rsidRDefault="00424A28" w:rsidP="00C01444">
            <w:pPr>
              <w:numPr>
                <w:ilvl w:val="0"/>
                <w:numId w:val="21"/>
              </w:numPr>
              <w:spacing w:before="200" w:after="200" w:line="264" w:lineRule="auto"/>
              <w:ind w:left="720"/>
              <w:contextualSpacing/>
              <w:rPr>
                <w:rFonts w:eastAsia="Aptos" w:cstheme="minorHAnsi"/>
              </w:rPr>
            </w:pPr>
            <w:r w:rsidRPr="0098338B">
              <w:rPr>
                <w:rFonts w:eastAsia="Aptos" w:cstheme="minorHAnsi"/>
              </w:rPr>
              <w:t>Select ‘+ Add Waiver Provider’.</w:t>
            </w:r>
          </w:p>
          <w:p w14:paraId="25256451" w14:textId="66D4D558" w:rsidR="00424A28" w:rsidRPr="0098338B" w:rsidRDefault="00424A28" w:rsidP="0098338B">
            <w:pPr>
              <w:numPr>
                <w:ilvl w:val="0"/>
                <w:numId w:val="21"/>
              </w:numPr>
              <w:spacing w:before="200" w:after="200" w:line="264" w:lineRule="auto"/>
              <w:ind w:left="720"/>
              <w:contextualSpacing/>
              <w:rPr>
                <w:rFonts w:eastAsia="Aptos" w:cstheme="minorHAnsi"/>
              </w:rPr>
            </w:pPr>
            <w:r w:rsidRPr="0098338B">
              <w:rPr>
                <w:rFonts w:eastAsia="Aptos" w:cstheme="minorHAnsi"/>
              </w:rPr>
              <w:t>In the Add Waiver Provider window, select ‘Search’ to search for the provider.</w:t>
            </w:r>
          </w:p>
          <w:p w14:paraId="268647FA" w14:textId="77777777" w:rsidR="00424A28" w:rsidRPr="00424A28" w:rsidRDefault="00424A28" w:rsidP="0098338B">
            <w:pPr>
              <w:spacing w:after="200" w:line="264" w:lineRule="auto"/>
              <w:ind w:left="720"/>
              <w:contextualSpacing/>
              <w:jc w:val="center"/>
              <w:rPr>
                <w:rFonts w:ascii="Aptos" w:eastAsia="Aptos" w:hAnsi="Aptos" w:cs="Times New Roman"/>
                <w:sz w:val="24"/>
                <w:szCs w:val="24"/>
              </w:rPr>
            </w:pPr>
            <w:r w:rsidRPr="00424A28">
              <w:rPr>
                <w:rFonts w:ascii="Aptos" w:eastAsia="Aptos" w:hAnsi="Aptos" w:cs="Times New Roman"/>
                <w:noProof/>
                <w:sz w:val="24"/>
                <w:szCs w:val="24"/>
              </w:rPr>
              <w:drawing>
                <wp:inline distT="0" distB="0" distL="0" distR="0" wp14:anchorId="0707FF07" wp14:editId="1F9EEB06">
                  <wp:extent cx="3076575" cy="1419225"/>
                  <wp:effectExtent l="152400" t="152400" r="371475" b="352425"/>
                  <wp:docPr id="3" name="Picture 6" descr="Screenshot from MnCHOICES application in Support Plan showing the Provider search in Add Waiver Provider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from MnCHOICES application in Support Plan showing the Provider search in Add Waiver Provider screen. "/>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76575" cy="1419225"/>
                          </a:xfrm>
                          <a:prstGeom prst="rect">
                            <a:avLst/>
                          </a:prstGeom>
                          <a:ln>
                            <a:noFill/>
                          </a:ln>
                          <a:effectLst>
                            <a:outerShdw blurRad="292100" dist="139700" dir="2700000" algn="tl" rotWithShape="0">
                              <a:srgbClr val="333333">
                                <a:alpha val="65000"/>
                              </a:srgbClr>
                            </a:outerShdw>
                          </a:effectLst>
                        </pic:spPr>
                      </pic:pic>
                    </a:graphicData>
                  </a:graphic>
                </wp:inline>
              </w:drawing>
            </w:r>
          </w:p>
          <w:p w14:paraId="0883FF6A" w14:textId="77777777" w:rsidR="00424A28" w:rsidRPr="00424A28" w:rsidRDefault="00424A28" w:rsidP="00C01444">
            <w:pPr>
              <w:spacing w:after="200" w:line="264" w:lineRule="auto"/>
              <w:ind w:left="720"/>
              <w:contextualSpacing/>
              <w:rPr>
                <w:rFonts w:ascii="Aptos" w:eastAsia="Aptos" w:hAnsi="Aptos" w:cs="Times New Roman"/>
                <w:sz w:val="24"/>
                <w:szCs w:val="24"/>
              </w:rPr>
            </w:pPr>
          </w:p>
          <w:p w14:paraId="4AEA44D2" w14:textId="77777777" w:rsidR="00424A28" w:rsidRPr="0098338B" w:rsidRDefault="00424A28" w:rsidP="00C01444">
            <w:pPr>
              <w:numPr>
                <w:ilvl w:val="0"/>
                <w:numId w:val="19"/>
              </w:numPr>
              <w:spacing w:before="200" w:after="200" w:line="264" w:lineRule="auto"/>
              <w:ind w:left="360"/>
              <w:contextualSpacing/>
              <w:rPr>
                <w:rFonts w:eastAsia="Aptos" w:cstheme="minorHAnsi"/>
              </w:rPr>
            </w:pPr>
            <w:r w:rsidRPr="0098338B">
              <w:rPr>
                <w:rFonts w:eastAsia="Aptos" w:cstheme="minorHAnsi"/>
              </w:rPr>
              <w:t>Go to the Services and Supports section and select ‘+ Add Service or Support’. In the Add Service or Support window, select the Service Type ‘Services that Support Me’.</w:t>
            </w:r>
          </w:p>
          <w:p w14:paraId="185F18CA" w14:textId="77777777" w:rsidR="00424A28" w:rsidRPr="0098338B" w:rsidRDefault="00424A28" w:rsidP="00C01444">
            <w:pPr>
              <w:numPr>
                <w:ilvl w:val="0"/>
                <w:numId w:val="19"/>
              </w:numPr>
              <w:spacing w:before="200" w:after="200" w:line="264" w:lineRule="auto"/>
              <w:ind w:left="360"/>
              <w:contextualSpacing/>
              <w:rPr>
                <w:rFonts w:eastAsia="Aptos" w:cstheme="minorHAnsi"/>
              </w:rPr>
            </w:pPr>
            <w:r w:rsidRPr="0098338B">
              <w:rPr>
                <w:rFonts w:eastAsia="Aptos" w:cstheme="minorHAnsi"/>
              </w:rPr>
              <w:t xml:space="preserve">In the next Add Service or Support window complete the following fields: </w:t>
            </w:r>
          </w:p>
          <w:p w14:paraId="1346B176"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Service Name: When searched the associated services will be available.</w:t>
            </w:r>
          </w:p>
          <w:p w14:paraId="1A12B890"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Provider Name: Select the provider from the dropdown menu.</w:t>
            </w:r>
          </w:p>
          <w:p w14:paraId="5B3F24BB"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 xml:space="preserve">Units: Enter the number of units. </w:t>
            </w:r>
          </w:p>
          <w:p w14:paraId="20711185" w14:textId="77777777" w:rsidR="00424A28" w:rsidRPr="0098338B" w:rsidRDefault="00424A28" w:rsidP="00C01444">
            <w:pPr>
              <w:numPr>
                <w:ilvl w:val="1"/>
                <w:numId w:val="22"/>
              </w:numPr>
              <w:spacing w:before="200" w:after="200" w:line="264" w:lineRule="auto"/>
              <w:ind w:left="1440"/>
              <w:contextualSpacing/>
              <w:rPr>
                <w:rFonts w:eastAsia="Aptos" w:cstheme="minorHAnsi"/>
              </w:rPr>
            </w:pPr>
            <w:r w:rsidRPr="0098338B">
              <w:rPr>
                <w:rFonts w:eastAsia="Aptos" w:cstheme="minorHAnsi"/>
              </w:rPr>
              <w:t>Select ‘Get Rate’.</w:t>
            </w:r>
          </w:p>
          <w:p w14:paraId="2CB9F143" w14:textId="77777777" w:rsidR="00424A28" w:rsidRPr="0098338B" w:rsidRDefault="00424A28" w:rsidP="00C01444">
            <w:pPr>
              <w:numPr>
                <w:ilvl w:val="1"/>
                <w:numId w:val="22"/>
              </w:numPr>
              <w:spacing w:before="200" w:after="200" w:line="264" w:lineRule="auto"/>
              <w:ind w:left="1440"/>
              <w:contextualSpacing/>
              <w:rPr>
                <w:rFonts w:eastAsia="Aptos" w:cstheme="minorHAnsi"/>
              </w:rPr>
            </w:pPr>
            <w:r w:rsidRPr="0098338B">
              <w:rPr>
                <w:rFonts w:eastAsia="Aptos" w:cstheme="minorHAnsi"/>
              </w:rPr>
              <w:t>In the Confirmation window select ‘OK’ to continue.</w:t>
            </w:r>
          </w:p>
          <w:p w14:paraId="746957ED"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 xml:space="preserve">Rate: This field does not display until ‘Get Rate’ is selected. Enter the rate value. </w:t>
            </w:r>
          </w:p>
          <w:p w14:paraId="085F0EF8"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Frequency: Select the frequency from the dropdown menu.</w:t>
            </w:r>
          </w:p>
          <w:p w14:paraId="41CDFAEA"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 xml:space="preserve">Complete the remaining required fields. </w:t>
            </w:r>
          </w:p>
          <w:p w14:paraId="161FAD0A" w14:textId="77777777" w:rsidR="00424A28" w:rsidRPr="0098338B" w:rsidRDefault="00424A28" w:rsidP="00C01444">
            <w:pPr>
              <w:numPr>
                <w:ilvl w:val="0"/>
                <w:numId w:val="22"/>
              </w:numPr>
              <w:spacing w:before="200" w:after="200" w:line="264" w:lineRule="auto"/>
              <w:ind w:left="720"/>
              <w:contextualSpacing/>
              <w:rPr>
                <w:rFonts w:eastAsia="Aptos" w:cstheme="minorHAnsi"/>
              </w:rPr>
            </w:pPr>
            <w:r w:rsidRPr="0098338B">
              <w:rPr>
                <w:rFonts w:eastAsia="Aptos" w:cstheme="minorHAnsi"/>
              </w:rPr>
              <w:t>Save: Select save to add the service to the SP-HRA.</w:t>
            </w:r>
          </w:p>
          <w:p w14:paraId="1B56479E" w14:textId="4358A16A" w:rsidR="00C01444" w:rsidRPr="00424A28" w:rsidRDefault="00424A28" w:rsidP="0098338B">
            <w:pPr>
              <w:spacing w:after="200" w:line="264" w:lineRule="auto"/>
              <w:ind w:left="720"/>
              <w:jc w:val="center"/>
              <w:rPr>
                <w:rFonts w:ascii="Calibri" w:eastAsia="Aptos" w:hAnsi="Calibri" w:cs="Calibri"/>
                <w:sz w:val="24"/>
                <w:szCs w:val="24"/>
              </w:rPr>
            </w:pPr>
            <w:r w:rsidRPr="00424A28">
              <w:rPr>
                <w:rFonts w:ascii="Calibri" w:eastAsia="Aptos" w:hAnsi="Calibri" w:cs="Calibri"/>
                <w:noProof/>
                <w:sz w:val="24"/>
                <w:szCs w:val="24"/>
              </w:rPr>
              <w:lastRenderedPageBreak/>
              <w:drawing>
                <wp:inline distT="0" distB="0" distL="0" distR="0" wp14:anchorId="2963CDFA" wp14:editId="5E412BC4">
                  <wp:extent cx="4937911" cy="3886200"/>
                  <wp:effectExtent l="152400" t="152400" r="358140" b="361950"/>
                  <wp:docPr id="4" name="Picture 5" descr="Screenshot from MnCHOICES application showing Add Service or Supports window within a Health Risk Assessment Support Plan (SP-HRA). The Service Name, Provider Name, Units, and Frequency headings ar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from MnCHOICES application showing Add Service or Supports window within a Health Risk Assessment Support Plan (SP-HRA). The Service Name, Provider Name, Units, and Frequency headings are highligh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949957" cy="3895681"/>
                          </a:xfrm>
                          <a:prstGeom prst="rect">
                            <a:avLst/>
                          </a:prstGeom>
                          <a:ln>
                            <a:noFill/>
                          </a:ln>
                          <a:effectLst>
                            <a:outerShdw blurRad="292100" dist="139700" dir="2700000" algn="tl" rotWithShape="0">
                              <a:srgbClr val="333333">
                                <a:alpha val="65000"/>
                              </a:srgbClr>
                            </a:outerShdw>
                          </a:effectLst>
                        </pic:spPr>
                      </pic:pic>
                    </a:graphicData>
                  </a:graphic>
                </wp:inline>
              </w:drawing>
            </w:r>
          </w:p>
          <w:p w14:paraId="55BFA8D1" w14:textId="188A9DB4" w:rsidR="00F12156" w:rsidRPr="004713C6" w:rsidRDefault="004713C6" w:rsidP="001A7830">
            <w:pPr>
              <w:keepNext/>
              <w:spacing w:before="200" w:line="264" w:lineRule="auto"/>
              <w:outlineLvl w:val="1"/>
              <w:rPr>
                <w:rFonts w:ascii="Calibri" w:eastAsia="Times New Roman" w:hAnsi="Calibri" w:cs="Calibri"/>
                <w:b/>
                <w:bCs/>
                <w:color w:val="FF0000"/>
                <w:sz w:val="28"/>
                <w:szCs w:val="28"/>
              </w:rPr>
            </w:pPr>
            <w:r w:rsidRPr="004713C6">
              <w:rPr>
                <w:rFonts w:ascii="Calibri" w:eastAsia="Times New Roman" w:hAnsi="Calibri" w:cs="Calibri"/>
                <w:b/>
                <w:bCs/>
                <w:color w:val="FF0000"/>
                <w:sz w:val="28"/>
                <w:szCs w:val="28"/>
              </w:rPr>
              <w:t xml:space="preserve">**Care Coordination should now be entered under </w:t>
            </w:r>
            <w:r w:rsidR="001A7830">
              <w:rPr>
                <w:rFonts w:ascii="Calibri" w:eastAsia="Times New Roman" w:hAnsi="Calibri" w:cs="Calibri"/>
                <w:b/>
                <w:bCs/>
                <w:color w:val="FF0000"/>
                <w:sz w:val="28"/>
                <w:szCs w:val="28"/>
              </w:rPr>
              <w:t>“</w:t>
            </w:r>
            <w:r w:rsidRPr="004713C6">
              <w:rPr>
                <w:rFonts w:ascii="Calibri" w:eastAsia="Times New Roman" w:hAnsi="Calibri" w:cs="Calibri"/>
                <w:b/>
                <w:bCs/>
                <w:color w:val="FF0000"/>
                <w:sz w:val="28"/>
                <w:szCs w:val="28"/>
              </w:rPr>
              <w:t>Services and Supports</w:t>
            </w:r>
            <w:r w:rsidR="001A7830">
              <w:rPr>
                <w:rFonts w:ascii="Calibri" w:eastAsia="Times New Roman" w:hAnsi="Calibri" w:cs="Calibri"/>
                <w:b/>
                <w:bCs/>
                <w:color w:val="FF0000"/>
                <w:sz w:val="28"/>
                <w:szCs w:val="28"/>
              </w:rPr>
              <w:t xml:space="preserve">” and not under “People &amp; Community Organizations </w:t>
            </w:r>
            <w:r w:rsidR="0098338B">
              <w:rPr>
                <w:rFonts w:ascii="Calibri" w:eastAsia="Times New Roman" w:hAnsi="Calibri" w:cs="Calibri"/>
                <w:b/>
                <w:bCs/>
                <w:color w:val="FF0000"/>
                <w:sz w:val="28"/>
                <w:szCs w:val="28"/>
              </w:rPr>
              <w:t>t</w:t>
            </w:r>
            <w:r w:rsidR="001A7830">
              <w:rPr>
                <w:rFonts w:ascii="Calibri" w:eastAsia="Times New Roman" w:hAnsi="Calibri" w:cs="Calibri"/>
                <w:b/>
                <w:bCs/>
                <w:color w:val="FF0000"/>
                <w:sz w:val="28"/>
                <w:szCs w:val="28"/>
              </w:rPr>
              <w:t>hat Support Me”.**</w:t>
            </w:r>
          </w:p>
          <w:p w14:paraId="6209C152" w14:textId="75FE6B3D" w:rsidR="00424A28" w:rsidRPr="00424A28" w:rsidRDefault="00424A28" w:rsidP="00F12156">
            <w:pPr>
              <w:keepNext/>
              <w:spacing w:before="200" w:line="264" w:lineRule="auto"/>
              <w:outlineLvl w:val="1"/>
              <w:rPr>
                <w:rFonts w:ascii="Calibri" w:eastAsia="Times New Roman" w:hAnsi="Calibri" w:cs="Calibri"/>
                <w:b/>
                <w:bCs/>
                <w:color w:val="4472C4"/>
                <w:sz w:val="28"/>
                <w:szCs w:val="28"/>
              </w:rPr>
            </w:pPr>
            <w:r w:rsidRPr="00424A28">
              <w:rPr>
                <w:rFonts w:ascii="Calibri" w:eastAsia="Times New Roman" w:hAnsi="Calibri" w:cs="Calibri"/>
                <w:b/>
                <w:bCs/>
                <w:color w:val="4472C4"/>
                <w:sz w:val="28"/>
                <w:szCs w:val="28"/>
              </w:rPr>
              <w:t>Training material</w:t>
            </w:r>
            <w:r w:rsidRPr="00C01444">
              <w:rPr>
                <w:rFonts w:ascii="Calibri" w:eastAsia="Times New Roman" w:hAnsi="Calibri" w:cs="Calibri"/>
                <w:b/>
                <w:bCs/>
                <w:color w:val="4472C4"/>
                <w:sz w:val="28"/>
                <w:szCs w:val="28"/>
              </w:rPr>
              <w:t>s</w:t>
            </w:r>
            <w:r w:rsidRPr="00424A28">
              <w:rPr>
                <w:rFonts w:ascii="Calibri" w:eastAsia="Times New Roman" w:hAnsi="Calibri" w:cs="Calibri"/>
                <w:b/>
                <w:bCs/>
                <w:color w:val="4472C4"/>
                <w:sz w:val="28"/>
                <w:szCs w:val="28"/>
              </w:rPr>
              <w:t xml:space="preserve"> update: </w:t>
            </w:r>
          </w:p>
          <w:p w14:paraId="2B4A590E" w14:textId="77777777" w:rsidR="00424A28" w:rsidRPr="00424A28" w:rsidRDefault="00424A28" w:rsidP="00F12156">
            <w:pPr>
              <w:spacing w:after="200" w:line="264" w:lineRule="auto"/>
              <w:rPr>
                <w:rFonts w:ascii="Calibri" w:eastAsia="Aptos" w:hAnsi="Calibri" w:cs="Calibri"/>
                <w:sz w:val="24"/>
                <w:szCs w:val="24"/>
              </w:rPr>
            </w:pPr>
            <w:r w:rsidRPr="00424A28">
              <w:rPr>
                <w:rFonts w:ascii="Calibri" w:eastAsia="Aptos" w:hAnsi="Calibri" w:cs="Calibri"/>
                <w:sz w:val="24"/>
                <w:szCs w:val="24"/>
              </w:rPr>
              <w:t xml:space="preserve">To reflect this change, the following training modules and resource documents will be updated: </w:t>
            </w:r>
          </w:p>
          <w:p w14:paraId="5E474800" w14:textId="77777777" w:rsidR="00424A28" w:rsidRPr="00424A28" w:rsidRDefault="00424A28" w:rsidP="00F12156">
            <w:pPr>
              <w:numPr>
                <w:ilvl w:val="0"/>
                <w:numId w:val="23"/>
              </w:numPr>
              <w:spacing w:before="200" w:after="200" w:line="264" w:lineRule="auto"/>
              <w:contextualSpacing/>
              <w:rPr>
                <w:rFonts w:ascii="Aptos" w:eastAsia="Aptos" w:hAnsi="Aptos" w:cs="Times New Roman"/>
                <w:sz w:val="24"/>
                <w:szCs w:val="24"/>
              </w:rPr>
            </w:pPr>
            <w:r w:rsidRPr="00424A28">
              <w:rPr>
                <w:rFonts w:ascii="Aptos" w:eastAsia="Aptos" w:hAnsi="Aptos" w:cs="Times New Roman"/>
                <w:sz w:val="24"/>
                <w:szCs w:val="24"/>
              </w:rPr>
              <w:lastRenderedPageBreak/>
              <w:t>Smart Guide: SP-HRA</w:t>
            </w:r>
          </w:p>
          <w:p w14:paraId="6FA200A3" w14:textId="77777777" w:rsidR="00424A28" w:rsidRPr="00424A28" w:rsidRDefault="00424A28" w:rsidP="00F12156">
            <w:pPr>
              <w:numPr>
                <w:ilvl w:val="0"/>
                <w:numId w:val="23"/>
              </w:numPr>
              <w:spacing w:before="200" w:after="200" w:line="264" w:lineRule="auto"/>
              <w:contextualSpacing/>
              <w:rPr>
                <w:rFonts w:ascii="Aptos" w:eastAsia="Aptos" w:hAnsi="Aptos" w:cs="Times New Roman"/>
                <w:sz w:val="24"/>
                <w:szCs w:val="24"/>
              </w:rPr>
            </w:pPr>
            <w:r w:rsidRPr="00424A28">
              <w:rPr>
                <w:rFonts w:ascii="Aptos" w:eastAsia="Aptos" w:hAnsi="Aptos" w:cs="Times New Roman"/>
                <w:sz w:val="24"/>
                <w:szCs w:val="24"/>
              </w:rPr>
              <w:t>Practice Guide: Support Plan form</w:t>
            </w:r>
          </w:p>
          <w:p w14:paraId="34FF68D9" w14:textId="77777777" w:rsidR="00424A28" w:rsidRPr="00424A28" w:rsidRDefault="00424A28" w:rsidP="00F12156">
            <w:pPr>
              <w:numPr>
                <w:ilvl w:val="0"/>
                <w:numId w:val="23"/>
              </w:numPr>
              <w:spacing w:before="200" w:after="200" w:line="264" w:lineRule="auto"/>
              <w:contextualSpacing/>
              <w:rPr>
                <w:rFonts w:ascii="Aptos" w:eastAsia="Aptos" w:hAnsi="Aptos" w:cs="Times New Roman"/>
                <w:sz w:val="24"/>
                <w:szCs w:val="24"/>
              </w:rPr>
            </w:pPr>
            <w:r w:rsidRPr="00424A28">
              <w:rPr>
                <w:rFonts w:ascii="Aptos" w:eastAsia="Aptos" w:hAnsi="Aptos" w:cs="Times New Roman"/>
                <w:sz w:val="24"/>
                <w:szCs w:val="24"/>
              </w:rPr>
              <w:t>Support Plan Workflow: SP-HRA Part 1 course (MNCH921)</w:t>
            </w:r>
          </w:p>
          <w:p w14:paraId="4BD541D6" w14:textId="596C37DA" w:rsidR="00CA04A0" w:rsidRPr="00F12156" w:rsidRDefault="00424A28" w:rsidP="00F12156">
            <w:pPr>
              <w:numPr>
                <w:ilvl w:val="0"/>
                <w:numId w:val="23"/>
              </w:numPr>
              <w:spacing w:before="200" w:after="200" w:line="264" w:lineRule="auto"/>
              <w:contextualSpacing/>
              <w:rPr>
                <w:rFonts w:ascii="Aptos" w:eastAsia="Aptos" w:hAnsi="Aptos" w:cs="Times New Roman"/>
                <w:sz w:val="24"/>
                <w:szCs w:val="24"/>
              </w:rPr>
            </w:pPr>
            <w:r w:rsidRPr="00424A28">
              <w:rPr>
                <w:rFonts w:ascii="Aptos" w:eastAsia="Aptos" w:hAnsi="Aptos" w:cs="Times New Roman"/>
                <w:sz w:val="24"/>
                <w:szCs w:val="24"/>
              </w:rPr>
              <w:t>Support Plan Workflow: SP-HRA Part 2 course (MNCH921)</w:t>
            </w:r>
          </w:p>
          <w:p w14:paraId="4F4B7CAB" w14:textId="77777777" w:rsidR="00CA04A0" w:rsidRPr="00C01444" w:rsidRDefault="00CA04A0" w:rsidP="00CA04A0">
            <w:pPr>
              <w:rPr>
                <w:rFonts w:cstheme="minorHAnsi"/>
                <w:sz w:val="24"/>
                <w:szCs w:val="24"/>
                <w:u w:val="single"/>
              </w:rPr>
            </w:pPr>
          </w:p>
          <w:p w14:paraId="2E680640" w14:textId="7F84FC46" w:rsidR="00CA04A0" w:rsidRPr="00C01444" w:rsidRDefault="00C01444" w:rsidP="00C01444">
            <w:pPr>
              <w:jc w:val="center"/>
              <w:rPr>
                <w:rFonts w:cstheme="minorHAnsi"/>
                <w:b/>
                <w:bCs/>
                <w:color w:val="FF0000"/>
                <w:sz w:val="28"/>
                <w:szCs w:val="28"/>
                <w:u w:val="single"/>
              </w:rPr>
            </w:pPr>
            <w:r w:rsidRPr="00C01444">
              <w:rPr>
                <w:rFonts w:cstheme="minorHAnsi"/>
                <w:b/>
                <w:bCs/>
                <w:color w:val="FF0000"/>
                <w:sz w:val="28"/>
                <w:szCs w:val="28"/>
                <w:u w:val="single"/>
              </w:rPr>
              <w:t>Guidance for those residing in customized living</w:t>
            </w:r>
          </w:p>
          <w:p w14:paraId="67C47E45" w14:textId="5DA16D0E" w:rsidR="00CA04A0" w:rsidRPr="00C01444" w:rsidRDefault="00C01444" w:rsidP="00CA04A0">
            <w:pPr>
              <w:rPr>
                <w:sz w:val="24"/>
                <w:szCs w:val="24"/>
              </w:rPr>
            </w:pPr>
            <w:r>
              <w:rPr>
                <w:sz w:val="24"/>
                <w:szCs w:val="24"/>
              </w:rPr>
              <w:t>When a member resides in customized living, Care Coordinators must choose “Resides in own home or apartment” from the “Current Living Situation” drop down menu in order for the member to be found eligible for CL/24 hr CL.</w:t>
            </w:r>
          </w:p>
          <w:p w14:paraId="330ED5CD" w14:textId="77777777" w:rsidR="00CA04A0" w:rsidRDefault="00CA04A0" w:rsidP="00CA04A0"/>
          <w:p w14:paraId="5B2CF209" w14:textId="47920E26" w:rsidR="00CA04A0" w:rsidRDefault="00C01444" w:rsidP="00C01444">
            <w:pPr>
              <w:jc w:val="center"/>
            </w:pPr>
            <w:r>
              <w:rPr>
                <w:noProof/>
              </w:rPr>
              <w:drawing>
                <wp:inline distT="0" distB="0" distL="0" distR="0" wp14:anchorId="471FF174" wp14:editId="027FA73D">
                  <wp:extent cx="5135786" cy="2809875"/>
                  <wp:effectExtent l="152400" t="152400" r="370205" b="352425"/>
                  <wp:docPr id="8834828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141912" cy="2813226"/>
                          </a:xfrm>
                          <a:prstGeom prst="rect">
                            <a:avLst/>
                          </a:prstGeom>
                          <a:ln>
                            <a:noFill/>
                          </a:ln>
                          <a:effectLst>
                            <a:outerShdw blurRad="292100" dist="139700" dir="2700000" algn="tl" rotWithShape="0">
                              <a:srgbClr val="333333">
                                <a:alpha val="65000"/>
                              </a:srgbClr>
                            </a:outerShdw>
                          </a:effectLst>
                        </pic:spPr>
                      </pic:pic>
                    </a:graphicData>
                  </a:graphic>
                </wp:inline>
              </w:drawing>
            </w:r>
          </w:p>
          <w:p w14:paraId="664E37EE" w14:textId="77777777" w:rsidR="00CA04A0" w:rsidRDefault="00CA04A0" w:rsidP="00CA04A0"/>
          <w:p w14:paraId="71D60361" w14:textId="77777777" w:rsidR="0098338B" w:rsidRDefault="0098338B" w:rsidP="00CA04A0"/>
          <w:p w14:paraId="2774CF14" w14:textId="77777777" w:rsidR="0098338B" w:rsidRDefault="0098338B" w:rsidP="00CA04A0"/>
          <w:p w14:paraId="4F0328B7" w14:textId="77777777" w:rsidR="00CA04A0" w:rsidRDefault="00CA04A0" w:rsidP="00CA04A0"/>
          <w:p w14:paraId="39A03E18" w14:textId="18D0B558" w:rsidR="00C01444" w:rsidRPr="00C01444" w:rsidRDefault="00C01444" w:rsidP="0098338B">
            <w:pPr>
              <w:jc w:val="center"/>
              <w:rPr>
                <w:b/>
                <w:bCs/>
                <w:color w:val="FF0000"/>
                <w:sz w:val="28"/>
                <w:szCs w:val="28"/>
                <w:u w:val="single"/>
              </w:rPr>
            </w:pPr>
            <w:r w:rsidRPr="00C01444">
              <w:rPr>
                <w:b/>
                <w:bCs/>
                <w:color w:val="FF0000"/>
                <w:sz w:val="28"/>
                <w:szCs w:val="28"/>
                <w:u w:val="single"/>
              </w:rPr>
              <w:lastRenderedPageBreak/>
              <w:t>MMIS Entry</w:t>
            </w:r>
            <w:r>
              <w:rPr>
                <w:b/>
                <w:bCs/>
                <w:color w:val="FF0000"/>
                <w:sz w:val="28"/>
                <w:szCs w:val="28"/>
                <w:u w:val="single"/>
              </w:rPr>
              <w:t xml:space="preserve"> for HRA’s</w:t>
            </w:r>
          </w:p>
          <w:p w14:paraId="2FAB5747" w14:textId="0B90C925" w:rsidR="00CA04A0" w:rsidRDefault="00C01444" w:rsidP="00CA04A0">
            <w:r>
              <w:t xml:space="preserve">Completion of an HRA only in MnCHOICES does not need entry into MMIS. MMIS entry is only required after completion of the full MnCHOICES assessment. </w:t>
            </w:r>
          </w:p>
          <w:p w14:paraId="194D7B0F" w14:textId="77777777" w:rsidR="00F53A36" w:rsidRDefault="00F53A36" w:rsidP="00CA04A0"/>
          <w:p w14:paraId="21F3C278" w14:textId="5F2B99E0" w:rsidR="007F63D1" w:rsidRDefault="00C01444" w:rsidP="00F53A36">
            <w:pPr>
              <w:jc w:val="center"/>
            </w:pPr>
            <w:r>
              <w:rPr>
                <w:noProof/>
              </w:rPr>
              <w:drawing>
                <wp:inline distT="0" distB="0" distL="0" distR="0" wp14:anchorId="02C145A8" wp14:editId="58584384">
                  <wp:extent cx="5787345" cy="3267075"/>
                  <wp:effectExtent l="152400" t="152400" r="347345" b="333375"/>
                  <wp:docPr id="16144977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0035" cy="3268594"/>
                          </a:xfrm>
                          <a:prstGeom prst="rect">
                            <a:avLst/>
                          </a:prstGeom>
                          <a:ln>
                            <a:noFill/>
                          </a:ln>
                          <a:effectLst>
                            <a:outerShdw blurRad="292100" dist="139700" dir="2700000" algn="tl" rotWithShape="0">
                              <a:srgbClr val="333333">
                                <a:alpha val="65000"/>
                              </a:srgbClr>
                            </a:outerShdw>
                          </a:effectLst>
                        </pic:spPr>
                      </pic:pic>
                    </a:graphicData>
                  </a:graphic>
                </wp:inline>
              </w:drawing>
            </w:r>
          </w:p>
          <w:p w14:paraId="59010D87" w14:textId="77777777" w:rsidR="0098338B" w:rsidRDefault="0098338B" w:rsidP="0098338B">
            <w:pPr>
              <w:rPr>
                <w:b/>
                <w:bCs/>
                <w:color w:val="FF0000"/>
                <w:sz w:val="28"/>
                <w:szCs w:val="28"/>
                <w:u w:val="single"/>
              </w:rPr>
            </w:pPr>
          </w:p>
          <w:p w14:paraId="3D4349FF" w14:textId="77777777" w:rsidR="0098338B" w:rsidRDefault="0098338B" w:rsidP="00F53A36">
            <w:pPr>
              <w:jc w:val="center"/>
              <w:rPr>
                <w:b/>
                <w:bCs/>
                <w:color w:val="FF0000"/>
                <w:sz w:val="28"/>
                <w:szCs w:val="28"/>
                <w:u w:val="single"/>
              </w:rPr>
            </w:pPr>
          </w:p>
          <w:p w14:paraId="35BDF8A5" w14:textId="597A7F4C" w:rsidR="00BF3FEC" w:rsidRDefault="00BF3FEC" w:rsidP="0098338B">
            <w:pPr>
              <w:jc w:val="center"/>
              <w:rPr>
                <w:b/>
                <w:bCs/>
                <w:color w:val="FF0000"/>
                <w:sz w:val="28"/>
                <w:szCs w:val="28"/>
                <w:u w:val="single"/>
              </w:rPr>
            </w:pPr>
            <w:r w:rsidRPr="00BF3FEC">
              <w:rPr>
                <w:b/>
                <w:bCs/>
                <w:color w:val="FF0000"/>
                <w:sz w:val="28"/>
                <w:szCs w:val="28"/>
                <w:u w:val="single"/>
              </w:rPr>
              <w:t>Sample Assessment</w:t>
            </w:r>
            <w:r>
              <w:rPr>
                <w:b/>
                <w:bCs/>
                <w:color w:val="FF0000"/>
                <w:sz w:val="28"/>
                <w:szCs w:val="28"/>
                <w:u w:val="single"/>
              </w:rPr>
              <w:t>s</w:t>
            </w:r>
            <w:r w:rsidRPr="00BF3FEC">
              <w:rPr>
                <w:b/>
                <w:bCs/>
                <w:color w:val="FF0000"/>
                <w:sz w:val="28"/>
                <w:szCs w:val="28"/>
                <w:u w:val="single"/>
              </w:rPr>
              <w:t xml:space="preserve"> and Support Plans</w:t>
            </w:r>
          </w:p>
          <w:p w14:paraId="41A0694E" w14:textId="77777777" w:rsidR="00BF3FEC" w:rsidRDefault="00BF3FEC" w:rsidP="00BF3FEC">
            <w:r>
              <w:t xml:space="preserve">During the 5/3/2024 MnCHOICES Call in Session, </w:t>
            </w:r>
            <w:r w:rsidRPr="00BF3FEC">
              <w:t xml:space="preserve">DHS </w:t>
            </w:r>
            <w:r>
              <w:t xml:space="preserve">shared 5 test members they </w:t>
            </w:r>
            <w:r w:rsidRPr="00BF3FEC">
              <w:t xml:space="preserve">created </w:t>
            </w:r>
            <w:r>
              <w:t xml:space="preserve">with </w:t>
            </w:r>
            <w:r w:rsidRPr="00BF3FEC">
              <w:t xml:space="preserve">sample assessments and </w:t>
            </w:r>
            <w:r>
              <w:t xml:space="preserve">associated </w:t>
            </w:r>
            <w:r w:rsidRPr="00BF3FEC">
              <w:t>support plans in MTZ</w:t>
            </w:r>
            <w:r>
              <w:t xml:space="preserve"> (t</w:t>
            </w:r>
            <w:r w:rsidRPr="00BF3FEC">
              <w:t>raining zone</w:t>
            </w:r>
            <w:r>
              <w:t>)</w:t>
            </w:r>
            <w:r w:rsidRPr="00BF3FEC">
              <w:t xml:space="preserve"> for users to reference. </w:t>
            </w:r>
            <w:r>
              <w:t xml:space="preserve">Work with your MnCHOICES Mentor if you have any questions. </w:t>
            </w:r>
          </w:p>
          <w:p w14:paraId="60114420" w14:textId="77777777" w:rsidR="00BF3FEC" w:rsidRDefault="00BF3FEC" w:rsidP="00BF3FEC"/>
          <w:p w14:paraId="13ACCBE7" w14:textId="54FA8546" w:rsidR="00BF3FEC" w:rsidRPr="00BF3FEC" w:rsidRDefault="00BF3FEC" w:rsidP="00BF3FEC">
            <w:r>
              <w:lastRenderedPageBreak/>
              <w:t xml:space="preserve">Friendly reminder: Do </w:t>
            </w:r>
            <w:r w:rsidRPr="00BF3FEC">
              <w:t>not</w:t>
            </w:r>
            <w:r>
              <w:t xml:space="preserve"> create any</w:t>
            </w:r>
            <w:r w:rsidRPr="00BF3FEC">
              <w:t xml:space="preserve"> work in these</w:t>
            </w:r>
            <w:r>
              <w:t xml:space="preserve"> test</w:t>
            </w:r>
            <w:r w:rsidRPr="00BF3FEC">
              <w:t xml:space="preserve"> member</w:t>
            </w:r>
            <w:r>
              <w:t xml:space="preserve"> files.</w:t>
            </w:r>
          </w:p>
          <w:p w14:paraId="38C30A0D" w14:textId="0E8F69A0" w:rsidR="00BF3FEC" w:rsidRPr="00BF3FEC" w:rsidRDefault="00BF3FEC" w:rsidP="00F53A36">
            <w:pPr>
              <w:jc w:val="center"/>
              <w:rPr>
                <w:b/>
                <w:bCs/>
                <w:color w:val="FF0000"/>
                <w:sz w:val="28"/>
                <w:szCs w:val="28"/>
                <w:u w:val="single"/>
              </w:rPr>
            </w:pPr>
            <w:r>
              <w:rPr>
                <w:noProof/>
              </w:rPr>
              <w:drawing>
                <wp:inline distT="0" distB="0" distL="0" distR="0" wp14:anchorId="2ED3E69C" wp14:editId="4F9FF191">
                  <wp:extent cx="5961380" cy="3221902"/>
                  <wp:effectExtent l="152400" t="152400" r="363220" b="360045"/>
                  <wp:docPr id="44982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2121" name=""/>
                          <pic:cNvPicPr/>
                        </pic:nvPicPr>
                        <pic:blipFill>
                          <a:blip r:embed="rId20"/>
                          <a:stretch>
                            <a:fillRect/>
                          </a:stretch>
                        </pic:blipFill>
                        <pic:spPr>
                          <a:xfrm>
                            <a:off x="0" y="0"/>
                            <a:ext cx="5964121" cy="3223383"/>
                          </a:xfrm>
                          <a:prstGeom prst="rect">
                            <a:avLst/>
                          </a:prstGeom>
                          <a:ln>
                            <a:noFill/>
                          </a:ln>
                          <a:effectLst>
                            <a:outerShdw blurRad="292100" dist="139700" dir="2700000" algn="tl" rotWithShape="0">
                              <a:srgbClr val="333333">
                                <a:alpha val="65000"/>
                              </a:srgbClr>
                            </a:outerShdw>
                          </a:effectLst>
                        </pic:spPr>
                      </pic:pic>
                    </a:graphicData>
                  </a:graphic>
                </wp:inline>
              </w:drawing>
            </w:r>
          </w:p>
          <w:p w14:paraId="243AD48F" w14:textId="77777777" w:rsidR="00F53A36" w:rsidRDefault="00F53A36" w:rsidP="00C01444">
            <w:pPr>
              <w:jc w:val="center"/>
            </w:pPr>
          </w:p>
          <w:p w14:paraId="3A0BE389" w14:textId="21B71E37" w:rsidR="007F63D1" w:rsidRPr="00BF3FEC" w:rsidRDefault="001A7830" w:rsidP="00F53A36">
            <w:pPr>
              <w:jc w:val="center"/>
              <w:rPr>
                <w:b/>
                <w:bCs/>
                <w:color w:val="FF0000"/>
                <w:sz w:val="32"/>
                <w:szCs w:val="32"/>
                <w:u w:val="single"/>
              </w:rPr>
            </w:pPr>
            <w:r>
              <w:rPr>
                <w:b/>
                <w:bCs/>
                <w:color w:val="FF0000"/>
                <w:sz w:val="32"/>
                <w:szCs w:val="32"/>
                <w:u w:val="single"/>
              </w:rPr>
              <w:t>Other Updates</w:t>
            </w:r>
          </w:p>
          <w:p w14:paraId="17E3CF11" w14:textId="77777777" w:rsidR="00363881" w:rsidRDefault="00363881" w:rsidP="00F53A36">
            <w:pPr>
              <w:pStyle w:val="ListParagraph"/>
              <w:numPr>
                <w:ilvl w:val="0"/>
                <w:numId w:val="27"/>
              </w:numPr>
              <w:spacing w:line="240" w:lineRule="auto"/>
              <w:ind w:left="360"/>
            </w:pPr>
            <w:r>
              <w:t xml:space="preserve">We’ve received questions about the DHS Transfer Guidance scenarios shared at the recent </w:t>
            </w:r>
            <w:r w:rsidR="004713C6">
              <w:t xml:space="preserve">MCO </w:t>
            </w:r>
            <w:r>
              <w:t xml:space="preserve">call-in session. Please continue to follow our current guidance until further notice from us. </w:t>
            </w:r>
          </w:p>
          <w:p w14:paraId="198B865C" w14:textId="77777777" w:rsidR="001A7830" w:rsidRDefault="001A7830" w:rsidP="001A7830">
            <w:pPr>
              <w:pStyle w:val="ListParagraph"/>
              <w:numPr>
                <w:ilvl w:val="0"/>
                <w:numId w:val="27"/>
              </w:numPr>
              <w:spacing w:line="240" w:lineRule="auto"/>
              <w:ind w:left="360"/>
            </w:pPr>
            <w:r>
              <w:t xml:space="preserve">Bridgeview communication will be provided on new and improved features to assessment fields and assessment combination drop down lists. </w:t>
            </w:r>
          </w:p>
          <w:p w14:paraId="5B40072C" w14:textId="63EF05A5" w:rsidR="001A7830" w:rsidRDefault="001A7830" w:rsidP="001A7830"/>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2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 w:name="_Hlk132280772"/>
                          <w:bookmarkEnd w:id="2"/>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3" w:name="_Hlk132280772"/>
                    <w:bookmarkEnd w:id="3"/>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8FFB6A2" w:rsidR="00AF1D04" w:rsidRPr="00AF1D04" w:rsidRDefault="00424A2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6-28-2024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18FFB6A2" w:rsidR="00AF1D04" w:rsidRPr="00AF1D04" w:rsidRDefault="00424A2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6-28-2024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B21EB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pt;height:12pt" o:bullet="t">
        <v:imagedata r:id="rId1" o:title="msoB1E1"/>
      </v:shape>
    </w:pict>
  </w:numPicBullet>
  <w:abstractNum w:abstractNumId="0" w15:restartNumberingAfterBreak="0">
    <w:nsid w:val="04247CE0"/>
    <w:multiLevelType w:val="hybridMultilevel"/>
    <w:tmpl w:val="D68AF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F3AA6"/>
    <w:multiLevelType w:val="hybridMultilevel"/>
    <w:tmpl w:val="656C50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9507949"/>
    <w:multiLevelType w:val="hybridMultilevel"/>
    <w:tmpl w:val="4BC2C1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13613"/>
    <w:multiLevelType w:val="hybridMultilevel"/>
    <w:tmpl w:val="07F6E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E5428D"/>
    <w:multiLevelType w:val="hybridMultilevel"/>
    <w:tmpl w:val="496AFAD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BA763A"/>
    <w:multiLevelType w:val="hybridMultilevel"/>
    <w:tmpl w:val="1F52F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840E3"/>
    <w:multiLevelType w:val="hybridMultilevel"/>
    <w:tmpl w:val="E974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C1AFD"/>
    <w:multiLevelType w:val="hybridMultilevel"/>
    <w:tmpl w:val="24A2B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640D0DEF"/>
    <w:multiLevelType w:val="hybridMultilevel"/>
    <w:tmpl w:val="5388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21880"/>
    <w:multiLevelType w:val="hybridMultilevel"/>
    <w:tmpl w:val="9A4278A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6"/>
  </w:num>
  <w:num w:numId="2" w16cid:durableId="1797331095">
    <w:abstractNumId w:val="8"/>
  </w:num>
  <w:num w:numId="3" w16cid:durableId="214856249">
    <w:abstractNumId w:val="12"/>
  </w:num>
  <w:num w:numId="4" w16cid:durableId="1499616861">
    <w:abstractNumId w:val="20"/>
  </w:num>
  <w:num w:numId="5" w16cid:durableId="2073769093">
    <w:abstractNumId w:val="1"/>
  </w:num>
  <w:num w:numId="6" w16cid:durableId="18362904">
    <w:abstractNumId w:val="24"/>
  </w:num>
  <w:num w:numId="7" w16cid:durableId="495341996">
    <w:abstractNumId w:val="25"/>
  </w:num>
  <w:num w:numId="8" w16cid:durableId="195433800">
    <w:abstractNumId w:val="2"/>
  </w:num>
  <w:num w:numId="9" w16cid:durableId="2131320421">
    <w:abstractNumId w:val="13"/>
  </w:num>
  <w:num w:numId="10" w16cid:durableId="292836173">
    <w:abstractNumId w:val="9"/>
  </w:num>
  <w:num w:numId="11" w16cid:durableId="590047722">
    <w:abstractNumId w:val="4"/>
  </w:num>
  <w:num w:numId="12" w16cid:durableId="1674527007">
    <w:abstractNumId w:val="7"/>
  </w:num>
  <w:num w:numId="13" w16cid:durableId="1073697651">
    <w:abstractNumId w:val="6"/>
  </w:num>
  <w:num w:numId="14" w16cid:durableId="1167403472">
    <w:abstractNumId w:val="17"/>
  </w:num>
  <w:num w:numId="15" w16cid:durableId="1282767395">
    <w:abstractNumId w:val="22"/>
  </w:num>
  <w:num w:numId="16" w16cid:durableId="974333673">
    <w:abstractNumId w:val="10"/>
  </w:num>
  <w:num w:numId="17" w16cid:durableId="113912185">
    <w:abstractNumId w:val="19"/>
  </w:num>
  <w:num w:numId="18" w16cid:durableId="1113018798">
    <w:abstractNumId w:val="15"/>
  </w:num>
  <w:num w:numId="19" w16cid:durableId="19738267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6578827">
    <w:abstractNumId w:val="5"/>
  </w:num>
  <w:num w:numId="21" w16cid:durableId="1565947297">
    <w:abstractNumId w:val="3"/>
  </w:num>
  <w:num w:numId="22" w16cid:durableId="698354041">
    <w:abstractNumId w:val="23"/>
  </w:num>
  <w:num w:numId="23" w16cid:durableId="222104940">
    <w:abstractNumId w:val="21"/>
  </w:num>
  <w:num w:numId="24" w16cid:durableId="2137988550">
    <w:abstractNumId w:val="11"/>
  </w:num>
  <w:num w:numId="25" w16cid:durableId="667681249">
    <w:abstractNumId w:val="14"/>
  </w:num>
  <w:num w:numId="26" w16cid:durableId="325401033">
    <w:abstractNumId w:val="0"/>
  </w:num>
  <w:num w:numId="27" w16cid:durableId="990865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16179E"/>
    <w:rsid w:val="00183E8A"/>
    <w:rsid w:val="001A7830"/>
    <w:rsid w:val="00222C7E"/>
    <w:rsid w:val="00222CB4"/>
    <w:rsid w:val="0023758D"/>
    <w:rsid w:val="00243310"/>
    <w:rsid w:val="00287C94"/>
    <w:rsid w:val="00292852"/>
    <w:rsid w:val="002E7252"/>
    <w:rsid w:val="00363881"/>
    <w:rsid w:val="00374CDB"/>
    <w:rsid w:val="003C1F8E"/>
    <w:rsid w:val="0041034A"/>
    <w:rsid w:val="00424A28"/>
    <w:rsid w:val="004713C6"/>
    <w:rsid w:val="004D30F0"/>
    <w:rsid w:val="005413CA"/>
    <w:rsid w:val="005C7FFC"/>
    <w:rsid w:val="005E07CD"/>
    <w:rsid w:val="00605891"/>
    <w:rsid w:val="00633301"/>
    <w:rsid w:val="00661EAF"/>
    <w:rsid w:val="00667838"/>
    <w:rsid w:val="00690495"/>
    <w:rsid w:val="00696BE2"/>
    <w:rsid w:val="006B5D91"/>
    <w:rsid w:val="007808B0"/>
    <w:rsid w:val="007A5F11"/>
    <w:rsid w:val="007B64F7"/>
    <w:rsid w:val="007D4DA8"/>
    <w:rsid w:val="007F63D1"/>
    <w:rsid w:val="0080562D"/>
    <w:rsid w:val="008632E5"/>
    <w:rsid w:val="00887099"/>
    <w:rsid w:val="008877C2"/>
    <w:rsid w:val="00894670"/>
    <w:rsid w:val="00954AF8"/>
    <w:rsid w:val="0098338B"/>
    <w:rsid w:val="00986E5D"/>
    <w:rsid w:val="00A16F35"/>
    <w:rsid w:val="00A24223"/>
    <w:rsid w:val="00AA1C20"/>
    <w:rsid w:val="00AB049B"/>
    <w:rsid w:val="00AD5757"/>
    <w:rsid w:val="00AD739E"/>
    <w:rsid w:val="00AF1D04"/>
    <w:rsid w:val="00BB1FFD"/>
    <w:rsid w:val="00BD6DF2"/>
    <w:rsid w:val="00BF3FEC"/>
    <w:rsid w:val="00C01444"/>
    <w:rsid w:val="00C608E4"/>
    <w:rsid w:val="00CA04A0"/>
    <w:rsid w:val="00CA1E33"/>
    <w:rsid w:val="00CA2A1A"/>
    <w:rsid w:val="00CF49F1"/>
    <w:rsid w:val="00D2645A"/>
    <w:rsid w:val="00D5294C"/>
    <w:rsid w:val="00DF3F00"/>
    <w:rsid w:val="00EC4AA6"/>
    <w:rsid w:val="00F12156"/>
    <w:rsid w:val="00F36B5F"/>
    <w:rsid w:val="00F53A36"/>
    <w:rsid w:val="00F5483A"/>
    <w:rsid w:val="00F610EE"/>
    <w:rsid w:val="00FC5F7D"/>
    <w:rsid w:val="00FC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4A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424A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559169803">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58834051">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AC0BF.45156ED0" TargetMode="External"/><Relationship Id="rId13" Type="http://schemas.openxmlformats.org/officeDocument/2006/relationships/image" Target="media/image4.png"/><Relationship Id="rId18" Type="http://schemas.openxmlformats.org/officeDocument/2006/relationships/image" Target="cid:image009.png@01DAC2F6.F38E17D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cid:image002.png@01DAB7EB.FDDB0D80"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cid:image005.png@01DAB7EB.FDDB0D80"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dhs.state.mn.us/main/idcplg?IdcService=GET_FILE&amp;RevisionSelectionMethod=LatestReleased&amp;Rendition=Primary&amp;allowInterrupt=1&amp;noSaveAs=1&amp;dDocName=mndhs-067108"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urldefense.com/v3/__https:/www.dhs.state.mn.us/main/idcplg?IdcService=GET_DYNAMIC_CONVERSION&amp;RevisionSelectionMethod=LatestReleased&amp;dDocName=MNDHS-066983__;!!CwIvYz4dIaSa!PIggTF6-B6wD1XTQH7nH-o1eOPqvTdBx0VlFY3FmJ8jrbhAZmfVO3TC9qbWrx-aOr-d5S-VRIpi6-KBxMrM_yfKQbZDoZw$" TargetMode="External"/><Relationship Id="rId14" Type="http://schemas.openxmlformats.org/officeDocument/2006/relationships/image" Target="cid:image006.png@01DAB7EC.61FA280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8</Pages>
  <Words>814</Words>
  <Characters>4643</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Melinda Heaser</cp:lastModifiedBy>
  <cp:revision>10</cp:revision>
  <cp:lastPrinted>2023-04-13T19:37:00Z</cp:lastPrinted>
  <dcterms:created xsi:type="dcterms:W3CDTF">2024-06-26T15:23:00Z</dcterms:created>
  <dcterms:modified xsi:type="dcterms:W3CDTF">2024-06-28T18:14:00Z</dcterms:modified>
</cp:coreProperties>
</file>