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52131398" w14:textId="6A5025B0" w:rsidR="008E3A6E" w:rsidRPr="00E63002" w:rsidRDefault="00C608E4" w:rsidP="008E3A6E">
            <w:pPr>
              <w:spacing w:before="60" w:after="60"/>
              <w:rPr>
                <w:sz w:val="24"/>
                <w:szCs w:val="24"/>
              </w:rPr>
            </w:pPr>
            <w:r w:rsidRPr="00C608E4">
              <w:rPr>
                <w:noProof/>
                <w:sz w:val="48"/>
                <w:szCs w:val="48"/>
              </w:rPr>
              <mc:AlternateContent>
                <mc:Choice Requires="wps">
                  <w:drawing>
                    <wp:anchor distT="45720" distB="45720" distL="114300" distR="114300" simplePos="0" relativeHeight="251659264" behindDoc="0" locked="0" layoutInCell="1" allowOverlap="1" wp14:anchorId="38191BE5" wp14:editId="71347CD1">
                      <wp:simplePos x="0" y="0"/>
                      <wp:positionH relativeFrom="column">
                        <wp:posOffset>7620</wp:posOffset>
                      </wp:positionH>
                      <wp:positionV relativeFrom="paragraph">
                        <wp:posOffset>56515</wp:posOffset>
                      </wp:positionV>
                      <wp:extent cx="7162800" cy="885825"/>
                      <wp:effectExtent l="0" t="0" r="0" b="9525"/>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885825"/>
                              </a:xfrm>
                              <a:prstGeom prst="rect">
                                <a:avLst/>
                              </a:prstGeom>
                              <a:solidFill>
                                <a:srgbClr val="FFFFFF"/>
                              </a:solidFill>
                              <a:ln w="9525">
                                <a:noFill/>
                                <a:miter lim="800000"/>
                                <a:headEnd/>
                                <a:tailEnd/>
                              </a:ln>
                            </wps:spPr>
                            <wps:txbx>
                              <w:txbxContent>
                                <w:p w14:paraId="1D4BA1CD" w14:textId="301F5785" w:rsidR="00C608E4" w:rsidRPr="00C608E4" w:rsidRDefault="008E3A6E" w:rsidP="00C608E4">
                                  <w:pPr>
                                    <w:jc w:val="center"/>
                                    <w:rPr>
                                      <w:color w:val="002060"/>
                                      <w:sz w:val="48"/>
                                      <w:szCs w:val="48"/>
                                    </w:rPr>
                                  </w:pPr>
                                  <w:r>
                                    <w:rPr>
                                      <w:color w:val="002060"/>
                                      <w:sz w:val="48"/>
                                      <w:szCs w:val="48"/>
                                    </w:rPr>
                                    <w:t>MnCHOICES Revision Project Update re: Assessment Results &amp; CDCS Budgets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margin-left:.6pt;margin-top:4.45pt;width:564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" stroked="f">
                      <v:textbox>
                        <w:txbxContent>
                          <w:p w14:paraId="1D4BA1CD" w14:textId="301F5785" w:rsidR="00C608E4" w:rsidRPr="00C608E4" w:rsidRDefault="008E3A6E" w:rsidP="00C608E4">
                            <w:pPr>
                              <w:jc w:val="center"/>
                              <w:rPr>
                                <w:color w:val="002060"/>
                                <w:sz w:val="48"/>
                                <w:szCs w:val="48"/>
                              </w:rPr>
                            </w:pPr>
                            <w:r>
                              <w:rPr>
                                <w:color w:val="002060"/>
                                <w:sz w:val="48"/>
                                <w:szCs w:val="48"/>
                              </w:rPr>
                              <w:t>MnCHOICES Revision Project Update re: Assessment Results &amp; CDCS Budgets</w:t>
                            </w:r>
                          </w:p>
                        </w:txbxContent>
                      </v:textbox>
                      <w10:wrap type="square"/>
                    </v:shape>
                  </w:pict>
                </mc:Fallback>
              </mc:AlternateContent>
            </w:r>
            <w:hyperlink r:id="rId7" w:history="1">
              <w:r w:rsidR="008E3A6E" w:rsidRPr="00E63002">
                <w:rPr>
                  <w:rStyle w:val="Hyperlink"/>
                  <w:sz w:val="24"/>
                  <w:szCs w:val="24"/>
                </w:rPr>
                <w:t>AASD and DSD eList: MnCHOICES revision project update about assessment results and CDCS budgets (state.mn.us)</w:t>
              </w:r>
            </w:hyperlink>
          </w:p>
          <w:p w14:paraId="40E393D2" w14:textId="77777777" w:rsidR="008E3A6E" w:rsidRPr="00E63002" w:rsidRDefault="008E3A6E" w:rsidP="008E3A6E">
            <w:pPr>
              <w:pStyle w:val="NormalWeb"/>
              <w:spacing w:after="0"/>
              <w:rPr>
                <w:rFonts w:eastAsia="Times New Roman"/>
                <w:sz w:val="24"/>
                <w:szCs w:val="24"/>
              </w:rPr>
            </w:pPr>
            <w:r w:rsidRPr="00E63002">
              <w:rPr>
                <w:rFonts w:eastAsia="Times New Roman"/>
                <w:sz w:val="24"/>
                <w:szCs w:val="24"/>
              </w:rPr>
              <w:t>DHS received lead agency feedback about MnCHOICES assessment results. When we developed the MnCHOICES revision assessment, we reviewed policy related to long-term care (LTC), developmental disabilities (DD) and home care. We considered policy intent and historical information when we developed the system rules that create budgets from the person’s answers in the assessment. After this review, we made necessary changes to the assessment to clarify the policy and improve accuracy of the intended thresholds for score values.</w:t>
            </w:r>
          </w:p>
          <w:p w14:paraId="75AAC4D0" w14:textId="0ABF5EBA" w:rsidR="008E3A6E" w:rsidRPr="00E63002" w:rsidRDefault="008E3A6E" w:rsidP="008E3A6E">
            <w:pPr>
              <w:pStyle w:val="NormalWeb"/>
              <w:spacing w:after="0"/>
              <w:rPr>
                <w:rFonts w:eastAsia="Times New Roman"/>
                <w:b/>
                <w:bCs/>
                <w:sz w:val="24"/>
                <w:szCs w:val="24"/>
              </w:rPr>
            </w:pPr>
            <w:r w:rsidRPr="00E63002">
              <w:rPr>
                <w:rFonts w:eastAsia="Times New Roman"/>
                <w:b/>
                <w:bCs/>
                <w:sz w:val="24"/>
                <w:szCs w:val="24"/>
              </w:rPr>
              <w:t xml:space="preserve">Lead agency </w:t>
            </w:r>
            <w:proofErr w:type="gramStart"/>
            <w:r w:rsidRPr="00E63002">
              <w:rPr>
                <w:rFonts w:eastAsia="Times New Roman"/>
                <w:b/>
                <w:bCs/>
                <w:sz w:val="24"/>
                <w:szCs w:val="24"/>
              </w:rPr>
              <w:t>actions</w:t>
            </w:r>
            <w:proofErr w:type="gramEnd"/>
          </w:p>
          <w:p w14:paraId="334D647D" w14:textId="77777777" w:rsidR="008E3A6E" w:rsidRPr="00E63002" w:rsidRDefault="008E3A6E" w:rsidP="008E3A6E">
            <w:pPr>
              <w:pStyle w:val="NormalWeb"/>
              <w:spacing w:after="0"/>
              <w:rPr>
                <w:rFonts w:eastAsia="Times New Roman"/>
                <w:sz w:val="24"/>
                <w:szCs w:val="24"/>
              </w:rPr>
            </w:pPr>
            <w:r w:rsidRPr="00E63002">
              <w:rPr>
                <w:rFonts w:eastAsia="Times New Roman"/>
                <w:sz w:val="24"/>
                <w:szCs w:val="24"/>
              </w:rPr>
              <w:t>Due to the changes DHS made to the MnCHOICES assessment to clarify policy, a person’s score in the MnCHOICES revision assessment may differ from the legacy assessment even if their situation has not changed. The assessor must:</w:t>
            </w:r>
          </w:p>
          <w:p w14:paraId="3B14CBE1" w14:textId="77777777" w:rsidR="008E3A6E" w:rsidRPr="00E63002" w:rsidRDefault="008E3A6E" w:rsidP="008E3A6E">
            <w:pPr>
              <w:pStyle w:val="NormalWeb"/>
              <w:numPr>
                <w:ilvl w:val="0"/>
                <w:numId w:val="17"/>
              </w:numPr>
              <w:spacing w:after="0"/>
              <w:rPr>
                <w:rFonts w:eastAsia="Times New Roman"/>
                <w:sz w:val="24"/>
                <w:szCs w:val="24"/>
              </w:rPr>
            </w:pPr>
            <w:r w:rsidRPr="00E63002">
              <w:rPr>
                <w:rFonts w:eastAsia="Times New Roman"/>
                <w:sz w:val="24"/>
                <w:szCs w:val="24"/>
              </w:rPr>
              <w:t>Explain to the person that the new system determines scores based on current policies and regulations.</w:t>
            </w:r>
          </w:p>
          <w:p w14:paraId="27DE409F" w14:textId="77777777" w:rsidR="008E3A6E" w:rsidRPr="00E63002" w:rsidRDefault="008E3A6E" w:rsidP="008E3A6E">
            <w:pPr>
              <w:pStyle w:val="NormalWeb"/>
              <w:numPr>
                <w:ilvl w:val="0"/>
                <w:numId w:val="17"/>
              </w:numPr>
              <w:spacing w:after="0"/>
              <w:rPr>
                <w:rFonts w:eastAsia="Times New Roman"/>
                <w:sz w:val="24"/>
                <w:szCs w:val="24"/>
              </w:rPr>
            </w:pPr>
            <w:r w:rsidRPr="00E63002">
              <w:rPr>
                <w:rFonts w:eastAsia="Times New Roman"/>
                <w:sz w:val="24"/>
                <w:szCs w:val="24"/>
              </w:rPr>
              <w:t xml:space="preserve">Not </w:t>
            </w:r>
            <w:proofErr w:type="gramStart"/>
            <w:r w:rsidRPr="00E63002">
              <w:rPr>
                <w:rFonts w:eastAsia="Times New Roman"/>
                <w:sz w:val="24"/>
                <w:szCs w:val="24"/>
              </w:rPr>
              <w:t>change</w:t>
            </w:r>
            <w:proofErr w:type="gramEnd"/>
            <w:r w:rsidRPr="00E63002">
              <w:rPr>
                <w:rFonts w:eastAsia="Times New Roman"/>
                <w:sz w:val="24"/>
                <w:szCs w:val="24"/>
              </w:rPr>
              <w:t xml:space="preserve"> assessment scores without direction from DHS.</w:t>
            </w:r>
          </w:p>
          <w:p w14:paraId="1461CAFD" w14:textId="77777777" w:rsidR="008E3A6E" w:rsidRPr="00E63002" w:rsidRDefault="008E3A6E" w:rsidP="008E3A6E">
            <w:pPr>
              <w:pStyle w:val="NormalWeb"/>
              <w:numPr>
                <w:ilvl w:val="0"/>
                <w:numId w:val="17"/>
              </w:numPr>
              <w:spacing w:after="0"/>
              <w:rPr>
                <w:rFonts w:eastAsia="Times New Roman"/>
                <w:sz w:val="24"/>
                <w:szCs w:val="24"/>
              </w:rPr>
            </w:pPr>
            <w:r w:rsidRPr="00E63002">
              <w:rPr>
                <w:rFonts w:eastAsia="Times New Roman"/>
                <w:sz w:val="24"/>
                <w:szCs w:val="24"/>
              </w:rPr>
              <w:t>Contact DHS for explanation about the difference between results using the MnCHOICES Help Desk Contact Form, DHS-6979.</w:t>
            </w:r>
          </w:p>
          <w:p w14:paraId="06B4FA5F" w14:textId="77777777" w:rsidR="008E3A6E" w:rsidRPr="00E63002" w:rsidRDefault="008E3A6E" w:rsidP="008E3A6E">
            <w:pPr>
              <w:pStyle w:val="NormalWeb"/>
              <w:spacing w:after="0"/>
              <w:rPr>
                <w:rFonts w:eastAsia="Times New Roman"/>
                <w:b/>
                <w:bCs/>
                <w:sz w:val="24"/>
                <w:szCs w:val="24"/>
              </w:rPr>
            </w:pPr>
            <w:r w:rsidRPr="00E63002">
              <w:rPr>
                <w:rFonts w:eastAsia="Times New Roman"/>
                <w:b/>
                <w:bCs/>
                <w:sz w:val="24"/>
                <w:szCs w:val="24"/>
              </w:rPr>
              <w:t>DHS actions with CDCS budgets</w:t>
            </w:r>
          </w:p>
          <w:p w14:paraId="67F5B34D" w14:textId="77777777" w:rsidR="008E3A6E" w:rsidRPr="00E63002" w:rsidRDefault="008E3A6E" w:rsidP="008E3A6E">
            <w:pPr>
              <w:pStyle w:val="NormalWeb"/>
              <w:spacing w:after="0"/>
              <w:rPr>
                <w:rFonts w:eastAsia="Times New Roman"/>
                <w:sz w:val="24"/>
                <w:szCs w:val="24"/>
              </w:rPr>
            </w:pPr>
            <w:r w:rsidRPr="00E63002">
              <w:rPr>
                <w:rFonts w:eastAsia="Times New Roman"/>
                <w:sz w:val="24"/>
                <w:szCs w:val="24"/>
              </w:rPr>
              <w:t>DHS developed a formula to calculate CDCS budget amounts. The formula uses information from the person’s screening document and most recent assessment (i.e., long-term care consultation [LTCC] or MnCHOICES assessment).</w:t>
            </w:r>
          </w:p>
          <w:p w14:paraId="57EC71EE" w14:textId="77777777" w:rsidR="008E3A6E" w:rsidRPr="00E63002" w:rsidRDefault="008E3A6E" w:rsidP="008E3A6E">
            <w:pPr>
              <w:pStyle w:val="NormalWeb"/>
              <w:spacing w:after="0"/>
              <w:rPr>
                <w:rFonts w:eastAsia="Times New Roman"/>
                <w:sz w:val="24"/>
                <w:szCs w:val="24"/>
              </w:rPr>
            </w:pPr>
            <w:r w:rsidRPr="00E63002">
              <w:rPr>
                <w:rFonts w:eastAsia="Times New Roman"/>
                <w:sz w:val="24"/>
                <w:szCs w:val="24"/>
              </w:rPr>
              <w:lastRenderedPageBreak/>
              <w:t>DHS monitors all feedback about the MnCHOICES revision assessment and CDCS budgets. We will evaluate any system errors and track data to help direct any necessary changes to the system. We will communicate any changes we make to the MnCHOICES application.</w:t>
            </w:r>
          </w:p>
          <w:p w14:paraId="24DB92F3" w14:textId="77777777" w:rsidR="008E3A6E" w:rsidRPr="00E63002" w:rsidRDefault="008E3A6E" w:rsidP="008E3A6E">
            <w:pPr>
              <w:pStyle w:val="Heading2"/>
              <w:spacing w:before="450" w:after="150"/>
              <w:rPr>
                <w:rFonts w:ascii="Calibri" w:eastAsia="Times New Roman" w:hAnsi="Calibri" w:cs="Calibri"/>
                <w:color w:val="auto"/>
                <w:sz w:val="24"/>
                <w:szCs w:val="24"/>
              </w:rPr>
            </w:pPr>
            <w:r w:rsidRPr="00E63002">
              <w:rPr>
                <w:rFonts w:ascii="Calibri" w:eastAsia="Times New Roman" w:hAnsi="Calibri" w:cs="Calibri"/>
                <w:color w:val="auto"/>
                <w:sz w:val="24"/>
                <w:szCs w:val="24"/>
              </w:rPr>
              <w:t>For more information on CDCS budget methodology, refer to CDCS Manual – CDCS budgets.</w:t>
            </w:r>
          </w:p>
          <w:p w14:paraId="16A145CD" w14:textId="77777777" w:rsidR="008E3A6E" w:rsidRPr="00E63002" w:rsidRDefault="008E3A6E" w:rsidP="008E3A6E">
            <w:pPr>
              <w:pStyle w:val="Heading2"/>
              <w:spacing w:before="450" w:after="150"/>
              <w:rPr>
                <w:rFonts w:asciiTheme="minorHAnsi" w:hAnsiTheme="minorHAnsi" w:cstheme="minorHAnsi"/>
                <w:b/>
                <w:bCs/>
                <w:color w:val="003865"/>
                <w:sz w:val="24"/>
                <w:szCs w:val="24"/>
              </w:rPr>
            </w:pPr>
            <w:r w:rsidRPr="00E63002">
              <w:rPr>
                <w:rFonts w:asciiTheme="minorHAnsi" w:hAnsiTheme="minorHAnsi" w:cstheme="minorHAnsi"/>
                <w:b/>
                <w:bCs/>
                <w:color w:val="003865"/>
                <w:sz w:val="24"/>
                <w:szCs w:val="24"/>
              </w:rPr>
              <w:t xml:space="preserve">Policy </w:t>
            </w:r>
            <w:proofErr w:type="gramStart"/>
            <w:r w:rsidRPr="00E63002">
              <w:rPr>
                <w:rFonts w:asciiTheme="minorHAnsi" w:hAnsiTheme="minorHAnsi" w:cstheme="minorHAnsi"/>
                <w:b/>
                <w:bCs/>
                <w:color w:val="003865"/>
                <w:sz w:val="24"/>
                <w:szCs w:val="24"/>
              </w:rPr>
              <w:t>change</w:t>
            </w:r>
            <w:proofErr w:type="gramEnd"/>
            <w:r w:rsidRPr="00E63002">
              <w:rPr>
                <w:rFonts w:asciiTheme="minorHAnsi" w:hAnsiTheme="minorHAnsi" w:cstheme="minorHAnsi"/>
                <w:b/>
                <w:bCs/>
                <w:color w:val="003865"/>
                <w:sz w:val="24"/>
                <w:szCs w:val="24"/>
              </w:rPr>
              <w:t xml:space="preserve"> to allow waivers/AC to stay open for 30 days during incarceration</w:t>
            </w:r>
          </w:p>
          <w:p w14:paraId="43FF94ED" w14:textId="77777777" w:rsidR="008E3A6E" w:rsidRPr="00E63002" w:rsidRDefault="00C147E1" w:rsidP="008E3A6E">
            <w:pPr>
              <w:rPr>
                <w:rFonts w:cstheme="minorHAnsi"/>
                <w:sz w:val="24"/>
                <w:szCs w:val="24"/>
              </w:rPr>
            </w:pPr>
            <w:hyperlink r:id="rId8" w:history="1">
              <w:r w:rsidR="008E3A6E" w:rsidRPr="00E63002">
                <w:rPr>
                  <w:rStyle w:val="Hyperlink"/>
                  <w:rFonts w:cstheme="minorHAnsi"/>
                  <w:sz w:val="24"/>
                  <w:szCs w:val="24"/>
                </w:rPr>
                <w:t xml:space="preserve">AASD and DSD eList: Policy </w:t>
              </w:r>
              <w:proofErr w:type="gramStart"/>
              <w:r w:rsidR="008E3A6E" w:rsidRPr="00E63002">
                <w:rPr>
                  <w:rStyle w:val="Hyperlink"/>
                  <w:rFonts w:cstheme="minorHAnsi"/>
                  <w:sz w:val="24"/>
                  <w:szCs w:val="24"/>
                </w:rPr>
                <w:t>change</w:t>
              </w:r>
              <w:proofErr w:type="gramEnd"/>
              <w:r w:rsidR="008E3A6E" w:rsidRPr="00E63002">
                <w:rPr>
                  <w:rStyle w:val="Hyperlink"/>
                  <w:rFonts w:cstheme="minorHAnsi"/>
                  <w:sz w:val="24"/>
                  <w:szCs w:val="24"/>
                </w:rPr>
                <w:t xml:space="preserve"> to allow waivers/AC to stay open for 30 days during incarceration (state.mn.us)</w:t>
              </w:r>
            </w:hyperlink>
          </w:p>
          <w:p w14:paraId="3F011E91" w14:textId="77777777" w:rsidR="008E3A6E" w:rsidRPr="00E63002" w:rsidRDefault="008E3A6E" w:rsidP="008E3A6E">
            <w:pPr>
              <w:pStyle w:val="id559"/>
              <w:spacing w:before="180" w:beforeAutospacing="0" w:after="180" w:afterAutospacing="0"/>
              <w:rPr>
                <w:rFonts w:asciiTheme="minorHAnsi" w:hAnsiTheme="minorHAnsi" w:cstheme="minorHAnsi"/>
                <w:color w:val="000000"/>
              </w:rPr>
            </w:pPr>
            <w:r w:rsidRPr="00E63002">
              <w:rPr>
                <w:rFonts w:asciiTheme="minorHAnsi" w:hAnsiTheme="minorHAnsi" w:cstheme="minorHAnsi"/>
                <w:color w:val="000000"/>
              </w:rPr>
              <w:t>Effective June 11, 2024, DHS updated policy to allow a person’s waiver or Alternative Care (AC) program to remain open for 30 days when they have been incarcerated temporarily. Before this policy change, lead agencies were required to close the waiver/AC as of the date of incarceration.</w:t>
            </w:r>
          </w:p>
          <w:p w14:paraId="7C2F7D2E" w14:textId="28FE6BAE" w:rsidR="00CA04A0" w:rsidRPr="00E63002" w:rsidRDefault="008E3A6E" w:rsidP="008E3A6E">
            <w:pPr>
              <w:rPr>
                <w:sz w:val="24"/>
                <w:szCs w:val="24"/>
              </w:rPr>
            </w:pPr>
            <w:r w:rsidRPr="00E63002">
              <w:rPr>
                <w:rFonts w:cstheme="minorHAnsi"/>
                <w:color w:val="000000"/>
                <w:sz w:val="24"/>
                <w:szCs w:val="24"/>
              </w:rPr>
              <w:t>For more information and instructions, refer to </w:t>
            </w:r>
            <w:hyperlink r:id="rId9" w:history="1">
              <w:r w:rsidRPr="00E63002">
                <w:rPr>
                  <w:rStyle w:val="id5ed"/>
                  <w:rFonts w:cstheme="minorHAnsi"/>
                  <w:color w:val="003865"/>
                  <w:sz w:val="24"/>
                  <w:szCs w:val="24"/>
                  <w:u w:val="single"/>
                </w:rPr>
                <w:t>CBSM – Temporary waiver exits and restarts: MMIS actions.</w:t>
              </w:r>
            </w:hyperlink>
          </w:p>
          <w:p w14:paraId="44E23689" w14:textId="77777777" w:rsidR="00CA04A0" w:rsidRDefault="00CA04A0" w:rsidP="00CA04A0"/>
          <w:p w14:paraId="3553041B" w14:textId="77777777" w:rsidR="00CA04A0" w:rsidRDefault="00CA04A0" w:rsidP="00CA04A0"/>
          <w:p w14:paraId="4CD14D95" w14:textId="77777777" w:rsidR="00CA04A0" w:rsidRDefault="00CA04A0" w:rsidP="00CA04A0"/>
          <w:p w14:paraId="149A3BCD" w14:textId="77777777" w:rsidR="00CA04A0" w:rsidRDefault="00CA04A0" w:rsidP="00CA04A0"/>
          <w:p w14:paraId="7BF4E5CF" w14:textId="77777777" w:rsidR="00CA04A0" w:rsidRDefault="00CA04A0" w:rsidP="00CA04A0"/>
          <w:p w14:paraId="7D213B32" w14:textId="023E1ED0" w:rsidR="00CA04A0" w:rsidRDefault="00CA04A0" w:rsidP="00CA04A0"/>
          <w:p w14:paraId="7EE8D6E2" w14:textId="0D6EEDA9" w:rsidR="00CA04A0" w:rsidRDefault="00CA04A0" w:rsidP="00CA04A0"/>
          <w:p w14:paraId="4588A7B1" w14:textId="77777777" w:rsidR="00CA04A0" w:rsidRDefault="00CA04A0" w:rsidP="00CA04A0"/>
          <w:p w14:paraId="26961A6D" w14:textId="77777777" w:rsidR="00CA04A0" w:rsidRDefault="00CA04A0" w:rsidP="00CA04A0"/>
          <w:p w14:paraId="67809B5E" w14:textId="77777777" w:rsidR="00CA04A0" w:rsidRDefault="00CA04A0" w:rsidP="00CA04A0"/>
          <w:p w14:paraId="4BD541D6" w14:textId="77777777" w:rsidR="00CA04A0" w:rsidRDefault="00CA04A0" w:rsidP="00CA04A0"/>
          <w:p w14:paraId="4F4B7CAB" w14:textId="5B03E373" w:rsidR="00CA04A0" w:rsidRDefault="00CA04A0" w:rsidP="00CA04A0"/>
          <w:p w14:paraId="1DFA825E" w14:textId="77777777" w:rsidR="00CA04A0" w:rsidRDefault="00CA04A0" w:rsidP="00CA04A0"/>
          <w:p w14:paraId="2E680640" w14:textId="77777777" w:rsidR="00CA04A0" w:rsidRDefault="00CA04A0" w:rsidP="00CA04A0"/>
          <w:p w14:paraId="67C47E45" w14:textId="77777777" w:rsidR="00CA04A0" w:rsidRDefault="00CA04A0" w:rsidP="00CA04A0"/>
          <w:p w14:paraId="782CFFAB" w14:textId="77777777" w:rsidR="00CA04A0" w:rsidRDefault="00CA04A0" w:rsidP="00CA04A0"/>
          <w:p w14:paraId="715944D2" w14:textId="77777777" w:rsidR="00CA04A0" w:rsidRDefault="00CA04A0" w:rsidP="00CA04A0"/>
          <w:p w14:paraId="0D463886" w14:textId="626C83E1" w:rsidR="00E63002" w:rsidRPr="00E63002" w:rsidRDefault="00E63002" w:rsidP="00E63002">
            <w:pPr>
              <w:pStyle w:val="Heading1"/>
              <w:spacing w:before="150" w:after="210"/>
              <w:rPr>
                <w:rFonts w:asciiTheme="minorHAnsi" w:eastAsia="Times New Roman" w:hAnsiTheme="minorHAnsi" w:cstheme="minorHAnsi"/>
                <w:color w:val="003865"/>
                <w:sz w:val="24"/>
                <w:szCs w:val="24"/>
              </w:rPr>
            </w:pPr>
            <w:r w:rsidRPr="00E63002">
              <w:rPr>
                <w:rFonts w:asciiTheme="minorHAnsi" w:hAnsiTheme="minorHAnsi" w:cstheme="minorHAnsi"/>
                <w:noProof/>
                <w:sz w:val="22"/>
                <w:szCs w:val="22"/>
              </w:rPr>
              <w:lastRenderedPageBreak/>
              <mc:AlternateContent>
                <mc:Choice Requires="wps">
                  <w:drawing>
                    <wp:anchor distT="45720" distB="45720" distL="114300" distR="114300" simplePos="0" relativeHeight="251661312" behindDoc="0" locked="0" layoutInCell="1" allowOverlap="1" wp14:anchorId="2000B298" wp14:editId="7A99EC5D">
                      <wp:simplePos x="0" y="0"/>
                      <wp:positionH relativeFrom="column">
                        <wp:posOffset>-30480</wp:posOffset>
                      </wp:positionH>
                      <wp:positionV relativeFrom="paragraph">
                        <wp:posOffset>34925</wp:posOffset>
                      </wp:positionV>
                      <wp:extent cx="7162800" cy="885825"/>
                      <wp:effectExtent l="0" t="0" r="0" b="9525"/>
                      <wp:wrapSquare wrapText="bothSides"/>
                      <wp:docPr id="771559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885825"/>
                              </a:xfrm>
                              <a:prstGeom prst="rect">
                                <a:avLst/>
                              </a:prstGeom>
                              <a:solidFill>
                                <a:srgbClr val="FFFFFF"/>
                              </a:solidFill>
                              <a:ln w="9525">
                                <a:noFill/>
                                <a:miter lim="800000"/>
                                <a:headEnd/>
                                <a:tailEnd/>
                              </a:ln>
                            </wps:spPr>
                            <wps:txbx>
                              <w:txbxContent>
                                <w:p w14:paraId="4E04704A" w14:textId="3AEF7165" w:rsidR="008E3A6E" w:rsidRPr="00C608E4" w:rsidRDefault="008E3A6E" w:rsidP="008E3A6E">
                                  <w:pPr>
                                    <w:jc w:val="center"/>
                                    <w:rPr>
                                      <w:color w:val="002060"/>
                                      <w:sz w:val="48"/>
                                      <w:szCs w:val="48"/>
                                    </w:rPr>
                                  </w:pPr>
                                  <w:r>
                                    <w:rPr>
                                      <w:color w:val="002060"/>
                                      <w:sz w:val="48"/>
                                      <w:szCs w:val="48"/>
                                    </w:rPr>
                                    <w:t>M</w:t>
                                  </w:r>
                                  <w:r w:rsidR="00E63002">
                                    <w:rPr>
                                      <w:color w:val="002060"/>
                                      <w:sz w:val="48"/>
                                      <w:szCs w:val="48"/>
                                    </w:rPr>
                                    <w:t>entors Requested to Submit Questions Two Weeks Prior to MnCHOICES Office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0B298" id="_x0000_s1027" type="#_x0000_t202" style="position:absolute;margin-left:-2.4pt;margin-top:2.75pt;width:564pt;height:6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" stroked="f">
                      <v:textbox>
                        <w:txbxContent>
                          <w:p w14:paraId="4E04704A" w14:textId="3AEF7165" w:rsidR="008E3A6E" w:rsidRPr="00C608E4" w:rsidRDefault="008E3A6E" w:rsidP="008E3A6E">
                            <w:pPr>
                              <w:jc w:val="center"/>
                              <w:rPr>
                                <w:color w:val="002060"/>
                                <w:sz w:val="48"/>
                                <w:szCs w:val="48"/>
                              </w:rPr>
                            </w:pPr>
                            <w:r>
                              <w:rPr>
                                <w:color w:val="002060"/>
                                <w:sz w:val="48"/>
                                <w:szCs w:val="48"/>
                              </w:rPr>
                              <w:t>M</w:t>
                            </w:r>
                            <w:r w:rsidR="00E63002">
                              <w:rPr>
                                <w:color w:val="002060"/>
                                <w:sz w:val="48"/>
                                <w:szCs w:val="48"/>
                              </w:rPr>
                              <w:t>entors Requested to Submit Questions Two Weeks Prior to MnCHOICES Office Hours</w:t>
                            </w:r>
                          </w:p>
                        </w:txbxContent>
                      </v:textbox>
                      <w10:wrap type="square"/>
                    </v:shape>
                  </w:pict>
                </mc:Fallback>
              </mc:AlternateContent>
            </w:r>
            <w:r w:rsidRPr="00E63002">
              <w:rPr>
                <w:rFonts w:asciiTheme="minorHAnsi" w:hAnsiTheme="minorHAnsi" w:cstheme="minorHAnsi"/>
                <w:color w:val="000000"/>
                <w:sz w:val="22"/>
                <w:szCs w:val="22"/>
              </w:rPr>
              <w:t>Updated</w:t>
            </w:r>
            <w:r w:rsidRPr="00E63002">
              <w:rPr>
                <w:rFonts w:asciiTheme="minorHAnsi" w:hAnsiTheme="minorHAnsi" w:cstheme="minorHAnsi"/>
                <w:color w:val="000000"/>
                <w:sz w:val="23"/>
                <w:szCs w:val="23"/>
              </w:rPr>
              <w:t xml:space="preserve"> </w:t>
            </w:r>
            <w:proofErr w:type="gramStart"/>
            <w:r w:rsidRPr="00E63002">
              <w:rPr>
                <w:rFonts w:asciiTheme="minorHAnsi" w:hAnsiTheme="minorHAnsi" w:cstheme="minorHAnsi"/>
                <w:color w:val="000000"/>
                <w:sz w:val="24"/>
                <w:szCs w:val="24"/>
              </w:rPr>
              <w:t>5/23/2024</w:t>
            </w:r>
            <w:proofErr w:type="gramEnd"/>
          </w:p>
          <w:p w14:paraId="59F32360" w14:textId="061DF182" w:rsidR="00E63002" w:rsidRPr="00E63002" w:rsidRDefault="00E63002" w:rsidP="00E63002">
            <w:pPr>
              <w:pStyle w:val="Heading2"/>
              <w:spacing w:before="450" w:after="150"/>
              <w:rPr>
                <w:rFonts w:asciiTheme="minorHAnsi" w:eastAsia="Times New Roman" w:hAnsiTheme="minorHAnsi" w:cstheme="minorHAnsi"/>
                <w:b/>
                <w:bCs/>
                <w:color w:val="003865"/>
                <w:sz w:val="24"/>
                <w:szCs w:val="24"/>
              </w:rPr>
            </w:pPr>
            <w:r w:rsidRPr="00E63002">
              <w:rPr>
                <w:rFonts w:asciiTheme="minorHAnsi" w:eastAsia="Times New Roman" w:hAnsiTheme="minorHAnsi" w:cstheme="minorHAnsi"/>
                <w:b/>
                <w:bCs/>
                <w:color w:val="003865"/>
                <w:sz w:val="24"/>
                <w:szCs w:val="24"/>
              </w:rPr>
              <w:t>About</w:t>
            </w:r>
          </w:p>
          <w:p w14:paraId="5FA10AA4" w14:textId="506926B5" w:rsidR="00E63002" w:rsidRPr="00E63002" w:rsidRDefault="00E63002" w:rsidP="00E63002">
            <w:pPr>
              <w:pStyle w:val="NormalWeb"/>
              <w:spacing w:before="0" w:beforeAutospacing="0" w:after="360" w:afterAutospacing="0"/>
              <w:rPr>
                <w:rFonts w:asciiTheme="minorHAnsi" w:hAnsiTheme="minorHAnsi" w:cstheme="minorHAnsi"/>
                <w:color w:val="000000"/>
                <w:sz w:val="24"/>
                <w:szCs w:val="24"/>
              </w:rPr>
            </w:pPr>
            <w:r w:rsidRPr="00E63002">
              <w:rPr>
                <w:rFonts w:asciiTheme="minorHAnsi" w:hAnsiTheme="minorHAnsi" w:cstheme="minorHAnsi"/>
                <w:color w:val="000000"/>
                <w:sz w:val="24"/>
                <w:szCs w:val="24"/>
              </w:rPr>
              <w:t>MnCHOICES “office hours” are conference calls held every month. Calls provide technical assistance, communications, and support to lead agencies as they continue to implement and manage MnCHOICES applications.</w:t>
            </w:r>
          </w:p>
          <w:p w14:paraId="40221D94" w14:textId="6C91C50F" w:rsidR="00E63002" w:rsidRPr="00E63002" w:rsidRDefault="00E63002" w:rsidP="00E63002">
            <w:pPr>
              <w:pStyle w:val="NormalWeb"/>
              <w:spacing w:before="0" w:beforeAutospacing="0" w:after="360" w:afterAutospacing="0"/>
              <w:rPr>
                <w:rFonts w:asciiTheme="minorHAnsi" w:hAnsiTheme="minorHAnsi" w:cstheme="minorHAnsi"/>
                <w:color w:val="000000"/>
                <w:sz w:val="24"/>
                <w:szCs w:val="24"/>
              </w:rPr>
            </w:pPr>
            <w:r w:rsidRPr="00E63002">
              <w:rPr>
                <w:rFonts w:asciiTheme="minorHAnsi" w:hAnsiTheme="minorHAnsi" w:cstheme="minorHAnsi"/>
                <w:color w:val="000000"/>
                <w:sz w:val="24"/>
                <w:szCs w:val="24"/>
              </w:rPr>
              <w:t xml:space="preserve">Staff members from all agencies that use MnCHOICES are strongly encouraged to participate. We ask that only MnCHOICES mentors and administrative contacts ask question during the call. Other agency staff can listen </w:t>
            </w:r>
            <w:proofErr w:type="gramStart"/>
            <w:r w:rsidRPr="00E63002">
              <w:rPr>
                <w:rFonts w:asciiTheme="minorHAnsi" w:hAnsiTheme="minorHAnsi" w:cstheme="minorHAnsi"/>
                <w:color w:val="000000"/>
                <w:sz w:val="24"/>
                <w:szCs w:val="24"/>
              </w:rPr>
              <w:t>in, but</w:t>
            </w:r>
            <w:proofErr w:type="gramEnd"/>
            <w:r w:rsidRPr="00E63002">
              <w:rPr>
                <w:rFonts w:asciiTheme="minorHAnsi" w:hAnsiTheme="minorHAnsi" w:cstheme="minorHAnsi"/>
                <w:color w:val="000000"/>
                <w:sz w:val="24"/>
                <w:szCs w:val="24"/>
              </w:rPr>
              <w:t xml:space="preserve"> should work with their mentor(s) to ask questions during the conference call. DHS asks that agency staff members call in as a group.</w:t>
            </w:r>
          </w:p>
          <w:p w14:paraId="77D59519" w14:textId="185CF27E" w:rsidR="00E63002" w:rsidRPr="00E63002" w:rsidRDefault="00E63002" w:rsidP="00E63002">
            <w:pPr>
              <w:pStyle w:val="Heading3"/>
              <w:spacing w:before="450" w:after="75"/>
              <w:rPr>
                <w:rFonts w:asciiTheme="minorHAnsi" w:hAnsiTheme="minorHAnsi" w:cstheme="minorHAnsi"/>
                <w:color w:val="003865"/>
                <w:sz w:val="24"/>
                <w:szCs w:val="24"/>
              </w:rPr>
            </w:pPr>
            <w:r w:rsidRPr="00E63002">
              <w:rPr>
                <w:rFonts w:asciiTheme="minorHAnsi" w:hAnsiTheme="minorHAnsi" w:cstheme="minorHAnsi"/>
                <w:color w:val="003865"/>
                <w:sz w:val="24"/>
                <w:szCs w:val="24"/>
              </w:rPr>
              <w:t xml:space="preserve">Submit </w:t>
            </w:r>
            <w:proofErr w:type="gramStart"/>
            <w:r w:rsidRPr="00E63002">
              <w:rPr>
                <w:rFonts w:asciiTheme="minorHAnsi" w:hAnsiTheme="minorHAnsi" w:cstheme="minorHAnsi"/>
                <w:color w:val="003865"/>
                <w:sz w:val="24"/>
                <w:szCs w:val="24"/>
              </w:rPr>
              <w:t>questions</w:t>
            </w:r>
            <w:proofErr w:type="gramEnd"/>
          </w:p>
          <w:p w14:paraId="5B6B5729" w14:textId="071685D3" w:rsidR="00E63002" w:rsidRPr="00E63002" w:rsidRDefault="00E63002" w:rsidP="00E63002">
            <w:pPr>
              <w:pStyle w:val="NormalWeb"/>
              <w:spacing w:before="0" w:beforeAutospacing="0" w:after="360" w:afterAutospacing="0"/>
              <w:rPr>
                <w:rFonts w:asciiTheme="minorHAnsi" w:hAnsiTheme="minorHAnsi" w:cstheme="minorHAnsi"/>
                <w:b/>
                <w:bCs/>
                <w:color w:val="000000"/>
                <w:sz w:val="24"/>
                <w:szCs w:val="24"/>
                <w:u w:val="single"/>
              </w:rPr>
            </w:pPr>
            <w:r w:rsidRPr="00E63002">
              <w:rPr>
                <w:rFonts w:asciiTheme="minorHAnsi" w:hAnsiTheme="minorHAnsi" w:cstheme="minorHAnsi"/>
                <w:b/>
                <w:bCs/>
                <w:color w:val="000000"/>
                <w:sz w:val="24"/>
                <w:szCs w:val="24"/>
                <w:u w:val="single"/>
              </w:rPr>
              <w:t>Mentors must </w:t>
            </w:r>
            <w:hyperlink r:id="rId10" w:history="1">
              <w:r w:rsidRPr="00E63002">
                <w:rPr>
                  <w:rStyle w:val="Hyperlink"/>
                  <w:rFonts w:asciiTheme="minorHAnsi" w:hAnsiTheme="minorHAnsi" w:cstheme="minorHAnsi"/>
                  <w:b/>
                  <w:bCs/>
                  <w:color w:val="003865"/>
                  <w:sz w:val="24"/>
                  <w:szCs w:val="24"/>
                </w:rPr>
                <w:t>submit MnCHOICES office hours questions</w:t>
              </w:r>
            </w:hyperlink>
            <w:r w:rsidRPr="00E63002">
              <w:rPr>
                <w:rFonts w:asciiTheme="minorHAnsi" w:hAnsiTheme="minorHAnsi" w:cstheme="minorHAnsi"/>
                <w:b/>
                <w:bCs/>
                <w:color w:val="000000"/>
                <w:sz w:val="24"/>
                <w:szCs w:val="24"/>
                <w:u w:val="single"/>
              </w:rPr>
              <w:t> at least two weeks before the call.</w:t>
            </w:r>
          </w:p>
          <w:p w14:paraId="5B40072C" w14:textId="03FCD451" w:rsidR="00CA04A0" w:rsidRDefault="00E63002" w:rsidP="00E63002">
            <w:r>
              <w:rPr>
                <w:noProof/>
              </w:rPr>
              <w:drawing>
                <wp:inline distT="0" distB="0" distL="0" distR="0" wp14:anchorId="0DB7A670" wp14:editId="7B1F9EA8">
                  <wp:extent cx="7077075" cy="1018833"/>
                  <wp:effectExtent l="0" t="0" r="0" b="0"/>
                  <wp:docPr id="2575667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7271390" cy="1046807"/>
                          </a:xfrm>
                          <a:prstGeom prst="rect">
                            <a:avLst/>
                          </a:prstGeom>
                          <a:noFill/>
                          <a:ln>
                            <a:noFill/>
                          </a:ln>
                          <a:effectLst/>
                        </pic:spPr>
                      </pic:pic>
                    </a:graphicData>
                  </a:graphic>
                </wp:inline>
              </w:drawing>
            </w:r>
          </w:p>
        </w:tc>
      </w:tr>
    </w:tbl>
    <w:p w14:paraId="3544C243" w14:textId="596B8805" w:rsidR="00CA04A0" w:rsidRDefault="00CA04A0"/>
    <w:p w14:paraId="2DD46C7A" w14:textId="3C15CA42"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3"/>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0" w:name="_Hlk132280772"/>
                          <w:bookmarkEnd w:id="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8"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 w:name="_Hlk132280772"/>
                    <w:bookmarkEnd w:id="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192AD435" w:rsidR="00AF1D04" w:rsidRPr="00AF1D04" w:rsidRDefault="008E3A6E"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6</w:t>
                          </w:r>
                          <w:r w:rsidR="007A5F11">
                            <w:rPr>
                              <w:rFonts w:ascii="Franklin Gothic Book" w:hAnsi="Franklin Gothic Book"/>
                              <w:b/>
                              <w:bCs/>
                              <w:color w:val="FFFFFF" w:themeColor="background1"/>
                              <w:sz w:val="44"/>
                              <w:szCs w:val="44"/>
                            </w:rPr>
                            <w:t>-</w:t>
                          </w:r>
                          <w:r>
                            <w:rPr>
                              <w:rFonts w:ascii="Franklin Gothic Book" w:hAnsi="Franklin Gothic Book"/>
                              <w:b/>
                              <w:bCs/>
                              <w:color w:val="FFFFFF" w:themeColor="background1"/>
                              <w:sz w:val="44"/>
                              <w:szCs w:val="44"/>
                            </w:rPr>
                            <w:t>14</w:t>
                          </w:r>
                          <w:r w:rsidR="007A5F11">
                            <w:rPr>
                              <w:rFonts w:ascii="Franklin Gothic Book" w:hAnsi="Franklin Gothic Book"/>
                              <w:b/>
                              <w:bCs/>
                              <w:color w:val="FFFFFF" w:themeColor="background1"/>
                              <w:sz w:val="44"/>
                              <w:szCs w:val="44"/>
                            </w:rPr>
                            <w:t>-</w:t>
                          </w:r>
                          <w:r>
                            <w:rPr>
                              <w:rFonts w:ascii="Franklin Gothic Book" w:hAnsi="Franklin Gothic Book"/>
                              <w:b/>
                              <w:bCs/>
                              <w:color w:val="FFFFFF" w:themeColor="background1"/>
                              <w:sz w:val="44"/>
                              <w:szCs w:val="44"/>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9"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192AD435" w:rsidR="00AF1D04" w:rsidRPr="00AF1D04" w:rsidRDefault="008E3A6E"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6</w:t>
                    </w:r>
                    <w:r w:rsidR="007A5F11">
                      <w:rPr>
                        <w:rFonts w:ascii="Franklin Gothic Book" w:hAnsi="Franklin Gothic Book"/>
                        <w:b/>
                        <w:bCs/>
                        <w:color w:val="FFFFFF" w:themeColor="background1"/>
                        <w:sz w:val="44"/>
                        <w:szCs w:val="44"/>
                      </w:rPr>
                      <w:t>-</w:t>
                    </w:r>
                    <w:r>
                      <w:rPr>
                        <w:rFonts w:ascii="Franklin Gothic Book" w:hAnsi="Franklin Gothic Book"/>
                        <w:b/>
                        <w:bCs/>
                        <w:color w:val="FFFFFF" w:themeColor="background1"/>
                        <w:sz w:val="44"/>
                        <w:szCs w:val="44"/>
                      </w:rPr>
                      <w:t>14</w:t>
                    </w:r>
                    <w:r w:rsidR="007A5F11">
                      <w:rPr>
                        <w:rFonts w:ascii="Franklin Gothic Book" w:hAnsi="Franklin Gothic Book"/>
                        <w:b/>
                        <w:bCs/>
                        <w:color w:val="FFFFFF" w:themeColor="background1"/>
                        <w:sz w:val="44"/>
                        <w:szCs w:val="44"/>
                      </w:rPr>
                      <w:t>-</w:t>
                    </w:r>
                    <w:r>
                      <w:rPr>
                        <w:rFonts w:ascii="Franklin Gothic Book" w:hAnsi="Franklin Gothic Book"/>
                        <w:b/>
                        <w:bCs/>
                        <w:color w:val="FFFFFF" w:themeColor="background1"/>
                        <w:sz w:val="44"/>
                        <w:szCs w:val="44"/>
                      </w:rPr>
                      <w:t>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00B7F"/>
    <w:multiLevelType w:val="hybridMultilevel"/>
    <w:tmpl w:val="5350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0"/>
  </w:num>
  <w:num w:numId="2" w16cid:durableId="1797331095">
    <w:abstractNumId w:val="5"/>
  </w:num>
  <w:num w:numId="3" w16cid:durableId="214856249">
    <w:abstractNumId w:val="8"/>
  </w:num>
  <w:num w:numId="4" w16cid:durableId="1499616861">
    <w:abstractNumId w:val="12"/>
  </w:num>
  <w:num w:numId="5" w16cid:durableId="2073769093">
    <w:abstractNumId w:val="0"/>
  </w:num>
  <w:num w:numId="6" w16cid:durableId="18362904">
    <w:abstractNumId w:val="15"/>
  </w:num>
  <w:num w:numId="7" w16cid:durableId="495341996">
    <w:abstractNumId w:val="16"/>
  </w:num>
  <w:num w:numId="8" w16cid:durableId="195433800">
    <w:abstractNumId w:val="1"/>
  </w:num>
  <w:num w:numId="9" w16cid:durableId="2131320421">
    <w:abstractNumId w:val="9"/>
  </w:num>
  <w:num w:numId="10" w16cid:durableId="292836173">
    <w:abstractNumId w:val="6"/>
  </w:num>
  <w:num w:numId="11" w16cid:durableId="590047722">
    <w:abstractNumId w:val="2"/>
  </w:num>
  <w:num w:numId="12" w16cid:durableId="1674527007">
    <w:abstractNumId w:val="4"/>
  </w:num>
  <w:num w:numId="13" w16cid:durableId="1073697651">
    <w:abstractNumId w:val="3"/>
  </w:num>
  <w:num w:numId="14" w16cid:durableId="1167403472">
    <w:abstractNumId w:val="11"/>
  </w:num>
  <w:num w:numId="15" w16cid:durableId="1282767395">
    <w:abstractNumId w:val="13"/>
  </w:num>
  <w:num w:numId="16" w16cid:durableId="974333673">
    <w:abstractNumId w:val="7"/>
  </w:num>
  <w:num w:numId="17" w16cid:durableId="6630958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50443"/>
    <w:rsid w:val="00222CB4"/>
    <w:rsid w:val="00287C94"/>
    <w:rsid w:val="002E7252"/>
    <w:rsid w:val="003C1F8E"/>
    <w:rsid w:val="00422658"/>
    <w:rsid w:val="004D30F0"/>
    <w:rsid w:val="005413CA"/>
    <w:rsid w:val="005C7FFC"/>
    <w:rsid w:val="005E07CD"/>
    <w:rsid w:val="00605891"/>
    <w:rsid w:val="00661EAF"/>
    <w:rsid w:val="00667838"/>
    <w:rsid w:val="00690495"/>
    <w:rsid w:val="00696BE2"/>
    <w:rsid w:val="006B5D91"/>
    <w:rsid w:val="007808B0"/>
    <w:rsid w:val="007A5F11"/>
    <w:rsid w:val="0080562D"/>
    <w:rsid w:val="00833CE6"/>
    <w:rsid w:val="00887099"/>
    <w:rsid w:val="008877C2"/>
    <w:rsid w:val="008E3A6E"/>
    <w:rsid w:val="008F2D57"/>
    <w:rsid w:val="00954AF8"/>
    <w:rsid w:val="00986E5D"/>
    <w:rsid w:val="00A16F35"/>
    <w:rsid w:val="00A24223"/>
    <w:rsid w:val="00AA1C20"/>
    <w:rsid w:val="00AB049B"/>
    <w:rsid w:val="00AD5757"/>
    <w:rsid w:val="00AF1D04"/>
    <w:rsid w:val="00BB1FFD"/>
    <w:rsid w:val="00BD6DF2"/>
    <w:rsid w:val="00C13B2A"/>
    <w:rsid w:val="00C147E1"/>
    <w:rsid w:val="00C608E4"/>
    <w:rsid w:val="00CA04A0"/>
    <w:rsid w:val="00CA1E33"/>
    <w:rsid w:val="00CA2A1A"/>
    <w:rsid w:val="00CF49F1"/>
    <w:rsid w:val="00D5294C"/>
    <w:rsid w:val="00E63002"/>
    <w:rsid w:val="00EC4AA6"/>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3A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8E3A6E"/>
    <w:rPr>
      <w:rFonts w:asciiTheme="majorHAnsi" w:eastAsiaTheme="majorEastAsia" w:hAnsiTheme="majorHAnsi" w:cstheme="majorBidi"/>
      <w:color w:val="2F5496" w:themeColor="accent1" w:themeShade="BF"/>
      <w:sz w:val="26"/>
      <w:szCs w:val="26"/>
    </w:rPr>
  </w:style>
  <w:style w:type="paragraph" w:customStyle="1" w:styleId="id559">
    <w:name w:val="id559"/>
    <w:basedOn w:val="Normal"/>
    <w:rsid w:val="008E3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d5ed">
    <w:name w:val="id5ed"/>
    <w:basedOn w:val="DefaultParagraphFont"/>
    <w:rsid w:val="008E3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24136372">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79037481">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state.mn.us/main/idcplg?IdcService=GET_DYNAMIC_CONVERSION&amp;RevisionSelectionMethod=LatestReleased&amp;dDocName=MNDHS-06687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hs.state.mn.us/main/idcplg?IdcService=GET_DYNAMIC_CONVERSION&amp;RevisionSelectionMethod=LatestReleased&amp;dDocName=MNDHS-066962" TargetMode="External"/><Relationship Id="rId12" Type="http://schemas.openxmlformats.org/officeDocument/2006/relationships/image" Target="cid:image004.jpg@01DABCF6.6D0FF5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kearns86.wufoo.com/forms/mnchoices-office-hours-presubmitted-questions" TargetMode="External"/><Relationship Id="rId4" Type="http://schemas.openxmlformats.org/officeDocument/2006/relationships/webSettings" Target="webSettings.xml"/><Relationship Id="rId9" Type="http://schemas.openxmlformats.org/officeDocument/2006/relationships/hyperlink" Target="javascript:link('DHS-31297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524</Words>
  <Characters>2990</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Ness, Cate</cp:lastModifiedBy>
  <cp:revision>3</cp:revision>
  <cp:lastPrinted>2023-04-13T19:37:00Z</cp:lastPrinted>
  <dcterms:created xsi:type="dcterms:W3CDTF">2024-06-13T15:02:00Z</dcterms:created>
  <dcterms:modified xsi:type="dcterms:W3CDTF">2024-06-13T15:16:00Z</dcterms:modified>
</cp:coreProperties>
</file>