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133F3DB8" w14:textId="0EFF34A2" w:rsidR="00CA04A0" w:rsidRPr="00C1515C" w:rsidRDefault="00C608E4" w:rsidP="00150443">
            <w:pPr>
              <w:spacing w:before="60" w:after="60"/>
              <w:jc w:val="center"/>
              <w:rPr>
                <w:rFonts w:ascii="Arial" w:hAnsi="Arial" w:cs="Arial"/>
                <w:sz w:val="24"/>
                <w:szCs w:val="24"/>
              </w:rPr>
            </w:pPr>
            <w:r w:rsidRPr="00C1515C">
              <w:rPr>
                <w:rFonts w:ascii="Arial" w:hAnsi="Arial" w:cs="Arial"/>
                <w:noProof/>
                <w:sz w:val="48"/>
                <w:szCs w:val="48"/>
              </w:rPr>
              <mc:AlternateContent>
                <mc:Choice Requires="wps">
                  <w:drawing>
                    <wp:anchor distT="45720" distB="45720" distL="114300" distR="114300" simplePos="0" relativeHeight="251659264" behindDoc="0" locked="0" layoutInCell="1" allowOverlap="1" wp14:anchorId="38191BE5" wp14:editId="5BE026BA">
                      <wp:simplePos x="0" y="0"/>
                      <wp:positionH relativeFrom="column">
                        <wp:posOffset>7620</wp:posOffset>
                      </wp:positionH>
                      <wp:positionV relativeFrom="paragraph">
                        <wp:posOffset>57150</wp:posOffset>
                      </wp:positionV>
                      <wp:extent cx="7162800" cy="83820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38200"/>
                              </a:xfrm>
                              <a:prstGeom prst="rect">
                                <a:avLst/>
                              </a:prstGeom>
                              <a:solidFill>
                                <a:srgbClr val="FFFFFF"/>
                              </a:solidFill>
                              <a:ln w="9525">
                                <a:noFill/>
                                <a:miter lim="800000"/>
                                <a:headEnd/>
                                <a:tailEnd/>
                              </a:ln>
                            </wps:spPr>
                            <wps:txbx>
                              <w:txbxContent>
                                <w:p w14:paraId="1D4BA1CD" w14:textId="4A9E232F" w:rsidR="00C608E4" w:rsidRPr="00D10757" w:rsidRDefault="003309CA" w:rsidP="00C608E4">
                                  <w:pPr>
                                    <w:jc w:val="center"/>
                                    <w:rPr>
                                      <w:rFonts w:cstheme="minorHAnsi"/>
                                      <w:color w:val="002060"/>
                                      <w:sz w:val="48"/>
                                      <w:szCs w:val="48"/>
                                    </w:rPr>
                                  </w:pPr>
                                  <w:r w:rsidRPr="00D10757">
                                    <w:rPr>
                                      <w:rFonts w:cstheme="minorHAnsi"/>
                                      <w:color w:val="002060"/>
                                      <w:sz w:val="48"/>
                                      <w:szCs w:val="48"/>
                                    </w:rPr>
                                    <w:t>Verifying S</w:t>
                                  </w:r>
                                  <w:r w:rsidR="00584E89" w:rsidRPr="00D10757">
                                    <w:rPr>
                                      <w:rFonts w:cstheme="minorHAnsi"/>
                                      <w:color w:val="002060"/>
                                      <w:sz w:val="48"/>
                                      <w:szCs w:val="48"/>
                                    </w:rPr>
                                    <w:t xml:space="preserve">creening </w:t>
                                  </w:r>
                                  <w:r w:rsidRPr="00D10757">
                                    <w:rPr>
                                      <w:rFonts w:cstheme="minorHAnsi"/>
                                      <w:color w:val="002060"/>
                                      <w:sz w:val="48"/>
                                      <w:szCs w:val="48"/>
                                    </w:rPr>
                                    <w:t>D</w:t>
                                  </w:r>
                                  <w:r w:rsidR="00584E89" w:rsidRPr="00D10757">
                                    <w:rPr>
                                      <w:rFonts w:cstheme="minorHAnsi"/>
                                      <w:color w:val="002060"/>
                                      <w:sz w:val="48"/>
                                      <w:szCs w:val="48"/>
                                    </w:rPr>
                                    <w:t>ocument</w:t>
                                  </w:r>
                                  <w:r w:rsidRPr="00D10757">
                                    <w:rPr>
                                      <w:rFonts w:cstheme="minorHAnsi"/>
                                      <w:color w:val="002060"/>
                                      <w:sz w:val="48"/>
                                      <w:szCs w:val="48"/>
                                    </w:rPr>
                                    <w:t xml:space="preserve"> Entry Date Prior to Reporting Potential Rate Cell Discrepancies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6pt;margin-top:4.5pt;width:564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JxDAIAAPY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" stroked="f">
                      <v:textbox>
                        <w:txbxContent>
                          <w:p w14:paraId="1D4BA1CD" w14:textId="4A9E232F" w:rsidR="00C608E4" w:rsidRPr="00D10757" w:rsidRDefault="003309CA" w:rsidP="00C608E4">
                            <w:pPr>
                              <w:jc w:val="center"/>
                              <w:rPr>
                                <w:rFonts w:cstheme="minorHAnsi"/>
                                <w:color w:val="002060"/>
                                <w:sz w:val="48"/>
                                <w:szCs w:val="48"/>
                              </w:rPr>
                            </w:pPr>
                            <w:r w:rsidRPr="00D10757">
                              <w:rPr>
                                <w:rFonts w:cstheme="minorHAnsi"/>
                                <w:color w:val="002060"/>
                                <w:sz w:val="48"/>
                                <w:szCs w:val="48"/>
                              </w:rPr>
                              <w:t>Verifying S</w:t>
                            </w:r>
                            <w:r w:rsidR="00584E89" w:rsidRPr="00D10757">
                              <w:rPr>
                                <w:rFonts w:cstheme="minorHAnsi"/>
                                <w:color w:val="002060"/>
                                <w:sz w:val="48"/>
                                <w:szCs w:val="48"/>
                              </w:rPr>
                              <w:t xml:space="preserve">creening </w:t>
                            </w:r>
                            <w:r w:rsidRPr="00D10757">
                              <w:rPr>
                                <w:rFonts w:cstheme="minorHAnsi"/>
                                <w:color w:val="002060"/>
                                <w:sz w:val="48"/>
                                <w:szCs w:val="48"/>
                              </w:rPr>
                              <w:t>D</w:t>
                            </w:r>
                            <w:r w:rsidR="00584E89" w:rsidRPr="00D10757">
                              <w:rPr>
                                <w:rFonts w:cstheme="minorHAnsi"/>
                                <w:color w:val="002060"/>
                                <w:sz w:val="48"/>
                                <w:szCs w:val="48"/>
                              </w:rPr>
                              <w:t>ocument</w:t>
                            </w:r>
                            <w:r w:rsidRPr="00D10757">
                              <w:rPr>
                                <w:rFonts w:cstheme="minorHAnsi"/>
                                <w:color w:val="002060"/>
                                <w:sz w:val="48"/>
                                <w:szCs w:val="48"/>
                              </w:rPr>
                              <w:t xml:space="preserve"> Entry Date Prior to Reporting Potential Rate Cell Discrepancies</w:t>
                            </w:r>
                          </w:p>
                        </w:txbxContent>
                      </v:textbox>
                      <w10:wrap type="square"/>
                    </v:shape>
                  </w:pict>
                </mc:Fallback>
              </mc:AlternateContent>
            </w:r>
          </w:p>
          <w:p w14:paraId="607FE4FC" w14:textId="648D79B8" w:rsidR="00584E89" w:rsidRPr="00D10757" w:rsidRDefault="003309CA" w:rsidP="00FC6C54">
            <w:pPr>
              <w:spacing w:before="120" w:after="120" w:line="259" w:lineRule="auto"/>
              <w:rPr>
                <w:rFonts w:cstheme="minorHAnsi"/>
                <w:sz w:val="24"/>
                <w:szCs w:val="24"/>
              </w:rPr>
            </w:pPr>
            <w:r w:rsidRPr="00D10757">
              <w:rPr>
                <w:rFonts w:cstheme="minorHAnsi"/>
                <w:sz w:val="24"/>
                <w:szCs w:val="24"/>
              </w:rPr>
              <w:t>Before contacting the</w:t>
            </w:r>
            <w:r w:rsidR="00782314" w:rsidRPr="00D10757">
              <w:rPr>
                <w:rFonts w:cstheme="minorHAnsi"/>
                <w:sz w:val="24"/>
                <w:szCs w:val="24"/>
              </w:rPr>
              <w:t xml:space="preserve"> Bridgeview </w:t>
            </w:r>
            <w:r w:rsidR="00FC6C54">
              <w:rPr>
                <w:rFonts w:cstheme="minorHAnsi"/>
                <w:sz w:val="24"/>
                <w:szCs w:val="24"/>
              </w:rPr>
              <w:t>T</w:t>
            </w:r>
            <w:r w:rsidRPr="00D10757">
              <w:rPr>
                <w:rFonts w:cstheme="minorHAnsi"/>
                <w:sz w:val="24"/>
                <w:szCs w:val="24"/>
              </w:rPr>
              <w:t xml:space="preserve">eam </w:t>
            </w:r>
            <w:r w:rsidR="00782314" w:rsidRPr="00D10757">
              <w:rPr>
                <w:rFonts w:cstheme="minorHAnsi"/>
                <w:sz w:val="24"/>
                <w:szCs w:val="24"/>
              </w:rPr>
              <w:t>to report</w:t>
            </w:r>
            <w:r w:rsidR="00584E89" w:rsidRPr="00D10757">
              <w:rPr>
                <w:rFonts w:cstheme="minorHAnsi"/>
                <w:sz w:val="24"/>
                <w:szCs w:val="24"/>
              </w:rPr>
              <w:t xml:space="preserve"> </w:t>
            </w:r>
            <w:r w:rsidR="00782314" w:rsidRPr="00D10757">
              <w:rPr>
                <w:rFonts w:cstheme="minorHAnsi"/>
                <w:sz w:val="24"/>
                <w:szCs w:val="24"/>
              </w:rPr>
              <w:t xml:space="preserve">potential </w:t>
            </w:r>
            <w:r w:rsidRPr="00D10757">
              <w:rPr>
                <w:rFonts w:cstheme="minorHAnsi"/>
                <w:sz w:val="24"/>
                <w:szCs w:val="24"/>
              </w:rPr>
              <w:t xml:space="preserve">Rate Cell </w:t>
            </w:r>
            <w:r w:rsidR="00782314" w:rsidRPr="00D10757">
              <w:rPr>
                <w:rFonts w:cstheme="minorHAnsi"/>
                <w:sz w:val="24"/>
                <w:szCs w:val="24"/>
              </w:rPr>
              <w:t>discrepanc</w:t>
            </w:r>
            <w:r w:rsidR="00584E89" w:rsidRPr="00D10757">
              <w:rPr>
                <w:rFonts w:cstheme="minorHAnsi"/>
                <w:sz w:val="24"/>
                <w:szCs w:val="24"/>
              </w:rPr>
              <w:t>ies</w:t>
            </w:r>
            <w:r w:rsidRPr="00D10757">
              <w:rPr>
                <w:rFonts w:cstheme="minorHAnsi"/>
                <w:sz w:val="24"/>
                <w:szCs w:val="24"/>
              </w:rPr>
              <w:t xml:space="preserve">, please </w:t>
            </w:r>
            <w:r w:rsidR="00782314" w:rsidRPr="00D10757">
              <w:rPr>
                <w:rFonts w:cstheme="minorHAnsi"/>
                <w:sz w:val="24"/>
                <w:szCs w:val="24"/>
              </w:rPr>
              <w:t xml:space="preserve">review </w:t>
            </w:r>
            <w:r w:rsidR="00584E89" w:rsidRPr="00D10757">
              <w:rPr>
                <w:rFonts w:cstheme="minorHAnsi"/>
                <w:sz w:val="24"/>
                <w:szCs w:val="24"/>
              </w:rPr>
              <w:t>MMIS ALT2 screen for the date the assessment was entered into the system.</w:t>
            </w:r>
          </w:p>
          <w:p w14:paraId="02713D3C" w14:textId="77777777" w:rsidR="00584E89" w:rsidRPr="00D10757" w:rsidRDefault="00584E89" w:rsidP="00FC6C54">
            <w:pPr>
              <w:pStyle w:val="ListParagraph"/>
              <w:numPr>
                <w:ilvl w:val="0"/>
                <w:numId w:val="17"/>
              </w:numPr>
              <w:spacing w:before="120" w:after="120"/>
              <w:rPr>
                <w:rFonts w:cstheme="minorHAnsi"/>
                <w:sz w:val="24"/>
                <w:szCs w:val="24"/>
              </w:rPr>
            </w:pPr>
            <w:r w:rsidRPr="00D10757">
              <w:rPr>
                <w:rFonts w:cstheme="minorHAnsi"/>
                <w:sz w:val="24"/>
                <w:szCs w:val="24"/>
              </w:rPr>
              <w:t>This field is called DATE SUB.</w:t>
            </w:r>
            <w:r w:rsidRPr="00D10757">
              <w:rPr>
                <w:rFonts w:cstheme="minorHAnsi"/>
                <w:noProof/>
                <w:sz w:val="24"/>
                <w:szCs w:val="24"/>
              </w:rPr>
              <w:t xml:space="preserve"> </w:t>
            </w:r>
          </w:p>
          <w:p w14:paraId="4087A82A" w14:textId="77777777" w:rsidR="00584E89" w:rsidRPr="00D10757" w:rsidRDefault="00584E89" w:rsidP="00C1515C">
            <w:pPr>
              <w:pStyle w:val="ListParagraph"/>
              <w:ind w:left="720"/>
              <w:jc w:val="center"/>
              <w:rPr>
                <w:rFonts w:cstheme="minorHAnsi"/>
                <w:sz w:val="24"/>
                <w:szCs w:val="24"/>
              </w:rPr>
            </w:pPr>
            <w:r w:rsidRPr="00D10757">
              <w:rPr>
                <w:rFonts w:cstheme="minorHAnsi"/>
                <w:noProof/>
                <w:sz w:val="24"/>
                <w:szCs w:val="24"/>
              </w:rPr>
              <w:drawing>
                <wp:inline distT="0" distB="0" distL="0" distR="0" wp14:anchorId="633CC2C6" wp14:editId="16673C29">
                  <wp:extent cx="3541395" cy="536575"/>
                  <wp:effectExtent l="95250" t="76200" r="97155" b="73025"/>
                  <wp:docPr id="1636268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68584" name=""/>
                          <pic:cNvPicPr/>
                        </pic:nvPicPr>
                        <pic:blipFill rotWithShape="1">
                          <a:blip r:embed="rId7"/>
                          <a:srcRect t="18750"/>
                          <a:stretch/>
                        </pic:blipFill>
                        <pic:spPr bwMode="auto">
                          <a:xfrm>
                            <a:off x="0" y="0"/>
                            <a:ext cx="3590745" cy="544052"/>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46D8F79" w14:textId="58B27C31" w:rsidR="00C1515C" w:rsidRPr="00D10757" w:rsidRDefault="00584E89" w:rsidP="00FC6C54">
            <w:pPr>
              <w:pStyle w:val="ListParagraph"/>
              <w:numPr>
                <w:ilvl w:val="0"/>
                <w:numId w:val="17"/>
              </w:numPr>
              <w:spacing w:before="120" w:after="120"/>
              <w:rPr>
                <w:rFonts w:cstheme="minorHAnsi"/>
                <w:sz w:val="24"/>
                <w:szCs w:val="24"/>
              </w:rPr>
            </w:pPr>
            <w:r w:rsidRPr="00D10757">
              <w:rPr>
                <w:rFonts w:cstheme="minorHAnsi"/>
                <w:sz w:val="24"/>
                <w:szCs w:val="24"/>
              </w:rPr>
              <w:t xml:space="preserve">If the </w:t>
            </w:r>
            <w:r w:rsidR="00D10757">
              <w:rPr>
                <w:rFonts w:cstheme="minorHAnsi"/>
                <w:sz w:val="24"/>
                <w:szCs w:val="24"/>
              </w:rPr>
              <w:t>re</w:t>
            </w:r>
            <w:r w:rsidR="00782314" w:rsidRPr="00D10757">
              <w:rPr>
                <w:rFonts w:cstheme="minorHAnsi"/>
                <w:sz w:val="24"/>
                <w:szCs w:val="24"/>
              </w:rPr>
              <w:t>assessment</w:t>
            </w:r>
            <w:r w:rsidRPr="00D10757">
              <w:rPr>
                <w:rFonts w:cstheme="minorHAnsi"/>
                <w:sz w:val="24"/>
                <w:szCs w:val="24"/>
              </w:rPr>
              <w:t xml:space="preserve"> was </w:t>
            </w:r>
            <w:r w:rsidR="00C1515C" w:rsidRPr="00D10757">
              <w:rPr>
                <w:rFonts w:cstheme="minorHAnsi"/>
                <w:sz w:val="24"/>
                <w:szCs w:val="24"/>
              </w:rPr>
              <w:t xml:space="preserve">entered into MMIS </w:t>
            </w:r>
            <w:r w:rsidR="00C1515C" w:rsidRPr="00D10757">
              <w:rPr>
                <w:rFonts w:cstheme="minorHAnsi"/>
                <w:b/>
                <w:bCs/>
                <w:sz w:val="24"/>
                <w:szCs w:val="24"/>
              </w:rPr>
              <w:t>on or before</w:t>
            </w:r>
            <w:r w:rsidR="00C1515C" w:rsidRPr="00D10757">
              <w:rPr>
                <w:rFonts w:cstheme="minorHAnsi"/>
                <w:sz w:val="24"/>
                <w:szCs w:val="24"/>
              </w:rPr>
              <w:t xml:space="preserve"> DHS’s capitation date (also referred to as the cut-off date), </w:t>
            </w:r>
            <w:r w:rsidR="00FC6C54">
              <w:rPr>
                <w:rFonts w:cstheme="minorHAnsi"/>
                <w:sz w:val="24"/>
                <w:szCs w:val="24"/>
              </w:rPr>
              <w:t xml:space="preserve">securely email </w:t>
            </w:r>
            <w:r w:rsidR="00FC6C54">
              <w:t>potential discrepancy to</w:t>
            </w:r>
            <w:r w:rsidR="00FC6C54">
              <w:rPr>
                <w:rFonts w:cstheme="minorHAnsi"/>
                <w:sz w:val="24"/>
                <w:szCs w:val="24"/>
              </w:rPr>
              <w:t xml:space="preserve"> </w:t>
            </w:r>
            <w:hyperlink r:id="rId8" w:history="1">
              <w:r w:rsidR="00FC6C54" w:rsidRPr="002E482B">
                <w:rPr>
                  <w:rStyle w:val="Hyperlink"/>
                  <w:rFonts w:cstheme="minorHAnsi"/>
                  <w:sz w:val="24"/>
                  <w:szCs w:val="24"/>
                </w:rPr>
                <w:t>bridgeview.service.agreements@bluecrossmn.com</w:t>
              </w:r>
            </w:hyperlink>
            <w:r w:rsidR="00C1515C" w:rsidRPr="00D10757">
              <w:rPr>
                <w:rFonts w:cstheme="minorHAnsi"/>
                <w:sz w:val="24"/>
                <w:szCs w:val="24"/>
              </w:rPr>
              <w:t>.</w:t>
            </w:r>
          </w:p>
          <w:p w14:paraId="4F154CE3" w14:textId="0D0B9968" w:rsidR="00C1515C" w:rsidRPr="00D10757" w:rsidRDefault="00C1515C" w:rsidP="00584E89">
            <w:pPr>
              <w:pStyle w:val="ListParagraph"/>
              <w:numPr>
                <w:ilvl w:val="0"/>
                <w:numId w:val="17"/>
              </w:numPr>
              <w:rPr>
                <w:rFonts w:cstheme="minorHAnsi"/>
                <w:sz w:val="24"/>
                <w:szCs w:val="24"/>
              </w:rPr>
            </w:pPr>
            <w:r w:rsidRPr="00D10757">
              <w:rPr>
                <w:rFonts w:cstheme="minorHAnsi"/>
                <w:sz w:val="24"/>
                <w:szCs w:val="24"/>
              </w:rPr>
              <w:t xml:space="preserve">If the assessment was </w:t>
            </w:r>
            <w:r w:rsidR="00584E89" w:rsidRPr="00D10757">
              <w:rPr>
                <w:rFonts w:cstheme="minorHAnsi"/>
                <w:b/>
                <w:bCs/>
                <w:sz w:val="24"/>
                <w:szCs w:val="24"/>
              </w:rPr>
              <w:t>NOT</w:t>
            </w:r>
            <w:r w:rsidR="00584E89" w:rsidRPr="00D10757">
              <w:rPr>
                <w:rFonts w:cstheme="minorHAnsi"/>
                <w:sz w:val="24"/>
                <w:szCs w:val="24"/>
              </w:rPr>
              <w:t xml:space="preserve"> entered into MMIS by </w:t>
            </w:r>
            <w:r w:rsidRPr="00D10757">
              <w:rPr>
                <w:rFonts w:cstheme="minorHAnsi"/>
                <w:sz w:val="24"/>
                <w:szCs w:val="24"/>
              </w:rPr>
              <w:t>the cut-off date,</w:t>
            </w:r>
            <w:r w:rsidR="00584E89" w:rsidRPr="00D10757">
              <w:rPr>
                <w:rFonts w:cstheme="minorHAnsi"/>
                <w:sz w:val="24"/>
                <w:szCs w:val="24"/>
              </w:rPr>
              <w:t xml:space="preserve"> th</w:t>
            </w:r>
            <w:r w:rsidRPr="00D10757">
              <w:rPr>
                <w:rFonts w:cstheme="minorHAnsi"/>
                <w:sz w:val="24"/>
                <w:szCs w:val="24"/>
              </w:rPr>
              <w:t>e</w:t>
            </w:r>
            <w:r w:rsidR="00584E89" w:rsidRPr="00D10757">
              <w:rPr>
                <w:rFonts w:cstheme="minorHAnsi"/>
                <w:sz w:val="24"/>
                <w:szCs w:val="24"/>
              </w:rPr>
              <w:t xml:space="preserve"> member’s rate cell will revert to A (Community Well) for one </w:t>
            </w:r>
            <w:r w:rsidRPr="00D10757">
              <w:rPr>
                <w:rFonts w:cstheme="minorHAnsi"/>
                <w:sz w:val="24"/>
                <w:szCs w:val="24"/>
              </w:rPr>
              <w:t xml:space="preserve">month and should not be reported to </w:t>
            </w:r>
            <w:r w:rsidR="00FC6C54">
              <w:rPr>
                <w:rFonts w:cstheme="minorHAnsi"/>
                <w:sz w:val="24"/>
                <w:szCs w:val="24"/>
              </w:rPr>
              <w:t xml:space="preserve">the </w:t>
            </w:r>
            <w:r w:rsidRPr="00D10757">
              <w:rPr>
                <w:rFonts w:cstheme="minorHAnsi"/>
                <w:sz w:val="24"/>
                <w:szCs w:val="24"/>
              </w:rPr>
              <w:t xml:space="preserve">Bridgeview </w:t>
            </w:r>
            <w:r w:rsidR="00FC6C54">
              <w:rPr>
                <w:rFonts w:cstheme="minorHAnsi"/>
                <w:sz w:val="24"/>
                <w:szCs w:val="24"/>
              </w:rPr>
              <w:t>Team</w:t>
            </w:r>
            <w:r w:rsidR="00584E89" w:rsidRPr="00D10757">
              <w:rPr>
                <w:rFonts w:cstheme="minorHAnsi"/>
                <w:sz w:val="24"/>
                <w:szCs w:val="24"/>
              </w:rPr>
              <w:t xml:space="preserve">.  </w:t>
            </w:r>
          </w:p>
          <w:p w14:paraId="53AFB2C0" w14:textId="72D7FD06" w:rsidR="00C1515C" w:rsidRPr="00D10757" w:rsidRDefault="00C1515C" w:rsidP="00D10757">
            <w:pPr>
              <w:pStyle w:val="ListParagraph"/>
              <w:numPr>
                <w:ilvl w:val="1"/>
                <w:numId w:val="17"/>
              </w:numPr>
              <w:spacing w:before="120" w:after="120"/>
              <w:rPr>
                <w:rFonts w:cstheme="minorHAnsi"/>
                <w:sz w:val="24"/>
                <w:szCs w:val="24"/>
              </w:rPr>
            </w:pPr>
            <w:r w:rsidRPr="00D10757">
              <w:rPr>
                <w:rFonts w:cstheme="minorHAnsi"/>
                <w:sz w:val="24"/>
                <w:szCs w:val="24"/>
              </w:rPr>
              <w:t>Please note: When an assessment is entered into MMIS late and the rate cell changes to A, Blue Plus continues to pay out EW claims for impacted members, without receiving accurate reimbursement from DHS.</w:t>
            </w:r>
          </w:p>
          <w:p w14:paraId="19DAEB58" w14:textId="66DC0ED5" w:rsidR="00D10757" w:rsidRPr="00D10757" w:rsidRDefault="00FC6C54" w:rsidP="00D10757">
            <w:pPr>
              <w:pStyle w:val="ListParagraph"/>
              <w:numPr>
                <w:ilvl w:val="1"/>
                <w:numId w:val="17"/>
              </w:numPr>
              <w:spacing w:before="120" w:after="120"/>
              <w:rPr>
                <w:rFonts w:cstheme="minorHAnsi"/>
                <w:sz w:val="24"/>
                <w:szCs w:val="24"/>
              </w:rPr>
            </w:pPr>
            <w:r>
              <w:rPr>
                <w:rFonts w:cstheme="minorHAnsi"/>
                <w:sz w:val="24"/>
                <w:szCs w:val="24"/>
              </w:rPr>
              <w:t>Late data entry</w:t>
            </w:r>
            <w:r w:rsidR="00D10757" w:rsidRPr="00D10757">
              <w:rPr>
                <w:rFonts w:cstheme="minorHAnsi"/>
                <w:sz w:val="24"/>
                <w:szCs w:val="24"/>
              </w:rPr>
              <w:t xml:space="preserve"> may also impact a member’s medical spenddown, if applicable. </w:t>
            </w:r>
          </w:p>
          <w:p w14:paraId="755ACED5" w14:textId="64919491" w:rsidR="00C1515C" w:rsidRPr="00D10757" w:rsidRDefault="00C1515C" w:rsidP="00D10757">
            <w:pPr>
              <w:spacing w:before="120" w:after="120"/>
              <w:rPr>
                <w:rFonts w:cstheme="minorHAnsi"/>
                <w:sz w:val="24"/>
                <w:szCs w:val="24"/>
              </w:rPr>
            </w:pPr>
            <w:r w:rsidRPr="00D10757">
              <w:rPr>
                <w:rFonts w:cstheme="minorHAnsi"/>
                <w:sz w:val="24"/>
                <w:szCs w:val="24"/>
              </w:rPr>
              <w:t>As a reminder, Care Coordination guidelines state that Elderly Waiver reassessments must be completed and entered into MMIS prior to DHS’s</w:t>
            </w:r>
            <w:r w:rsidR="00D10757">
              <w:rPr>
                <w:rFonts w:cstheme="minorHAnsi"/>
                <w:sz w:val="24"/>
                <w:szCs w:val="24"/>
              </w:rPr>
              <w:t xml:space="preserve"> </w:t>
            </w:r>
            <w:r w:rsidRPr="00D10757">
              <w:rPr>
                <w:rFonts w:cstheme="minorHAnsi"/>
                <w:sz w:val="24"/>
                <w:szCs w:val="24"/>
              </w:rPr>
              <w:t>monthly capitation date, in addition to being timely within 365 days of the previous assessment.</w:t>
            </w:r>
          </w:p>
          <w:p w14:paraId="4ECB80FC" w14:textId="0939ACF3" w:rsidR="00782314" w:rsidRPr="00D10757" w:rsidRDefault="00782314" w:rsidP="00584E89">
            <w:pPr>
              <w:pStyle w:val="ListParagraph"/>
              <w:numPr>
                <w:ilvl w:val="0"/>
                <w:numId w:val="17"/>
              </w:numPr>
              <w:rPr>
                <w:rFonts w:cstheme="minorHAnsi"/>
                <w:sz w:val="24"/>
                <w:szCs w:val="24"/>
              </w:rPr>
            </w:pPr>
            <w:r w:rsidRPr="00D10757">
              <w:rPr>
                <w:rFonts w:cstheme="minorHAnsi"/>
                <w:sz w:val="24"/>
                <w:szCs w:val="24"/>
              </w:rPr>
              <w:lastRenderedPageBreak/>
              <w:t xml:space="preserve">See </w:t>
            </w:r>
            <w:hyperlink r:id="rId9" w:history="1">
              <w:r w:rsidR="00584E89" w:rsidRPr="00D10757">
                <w:rPr>
                  <w:rStyle w:val="Hyperlink"/>
                  <w:rFonts w:cstheme="minorHAnsi"/>
                  <w:sz w:val="24"/>
                  <w:szCs w:val="24"/>
                </w:rPr>
                <w:t xml:space="preserve">Care Coordination </w:t>
              </w:r>
              <w:r w:rsidRPr="00D10757">
                <w:rPr>
                  <w:rStyle w:val="Hyperlink"/>
                  <w:rFonts w:cstheme="minorHAnsi"/>
                  <w:sz w:val="24"/>
                  <w:szCs w:val="24"/>
                </w:rPr>
                <w:t>guidelines</w:t>
              </w:r>
            </w:hyperlink>
            <w:r w:rsidR="00584E89" w:rsidRPr="00D10757">
              <w:rPr>
                <w:rFonts w:cstheme="minorHAnsi"/>
                <w:sz w:val="24"/>
                <w:szCs w:val="24"/>
              </w:rPr>
              <w:t xml:space="preserve">, </w:t>
            </w:r>
            <w:r w:rsidRPr="00D10757">
              <w:rPr>
                <w:rFonts w:cstheme="minorHAnsi"/>
                <w:sz w:val="24"/>
                <w:szCs w:val="24"/>
              </w:rPr>
              <w:t>page</w:t>
            </w:r>
            <w:r w:rsidR="00584E89" w:rsidRPr="00D10757">
              <w:rPr>
                <w:rFonts w:cstheme="minorHAnsi"/>
                <w:sz w:val="24"/>
                <w:szCs w:val="24"/>
              </w:rPr>
              <w:t>s</w:t>
            </w:r>
            <w:r w:rsidRPr="00D10757">
              <w:rPr>
                <w:rFonts w:cstheme="minorHAnsi"/>
                <w:sz w:val="24"/>
                <w:szCs w:val="24"/>
              </w:rPr>
              <w:t xml:space="preserve"> 44-45</w:t>
            </w:r>
            <w:r w:rsidR="00584E89" w:rsidRPr="00D10757">
              <w:rPr>
                <w:rFonts w:cstheme="minorHAnsi"/>
                <w:sz w:val="24"/>
                <w:szCs w:val="24"/>
              </w:rPr>
              <w:t>, for additional information</w:t>
            </w:r>
            <w:r w:rsidRPr="00D10757">
              <w:rPr>
                <w:rFonts w:cstheme="minorHAnsi"/>
                <w:sz w:val="24"/>
                <w:szCs w:val="24"/>
              </w:rPr>
              <w:t>.</w:t>
            </w:r>
          </w:p>
          <w:p w14:paraId="70203429" w14:textId="77777777" w:rsidR="00782314" w:rsidRPr="00C1515C" w:rsidRDefault="00782314" w:rsidP="00782314">
            <w:pPr>
              <w:rPr>
                <w:rFonts w:ascii="Arial" w:hAnsi="Arial" w:cs="Arial"/>
              </w:rPr>
            </w:pPr>
          </w:p>
          <w:p w14:paraId="5B40072C" w14:textId="4DCBC978" w:rsidR="00CA04A0" w:rsidRPr="00C1515C" w:rsidRDefault="00782314" w:rsidP="00FC6C54">
            <w:pPr>
              <w:jc w:val="center"/>
              <w:rPr>
                <w:rFonts w:ascii="Arial" w:hAnsi="Arial" w:cs="Arial"/>
              </w:rPr>
            </w:pPr>
            <w:r w:rsidRPr="00C1515C">
              <w:rPr>
                <w:rFonts w:ascii="Arial" w:hAnsi="Arial" w:cs="Arial"/>
                <w:noProof/>
              </w:rPr>
              <w:drawing>
                <wp:inline distT="0" distB="0" distL="0" distR="0" wp14:anchorId="3CEF98F3" wp14:editId="6352B172">
                  <wp:extent cx="6334125" cy="4457700"/>
                  <wp:effectExtent l="114300" t="114300" r="123825" b="114300"/>
                  <wp:docPr id="454016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t="-1" b="6773"/>
                          <a:stretch/>
                        </pic:blipFill>
                        <pic:spPr bwMode="auto">
                          <a:xfrm>
                            <a:off x="0" y="0"/>
                            <a:ext cx="6334125" cy="4457700"/>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2"/>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69F02B66" w:rsidR="00AF1D04" w:rsidRPr="00AF1D04" w:rsidRDefault="00782314"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5/17/2024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69F02B66" w:rsidR="00AF1D04" w:rsidRPr="00AF1D04" w:rsidRDefault="00782314"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5/17/2024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E5FEF"/>
    <w:multiLevelType w:val="hybridMultilevel"/>
    <w:tmpl w:val="AEC8D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0"/>
  </w:num>
  <w:num w:numId="2" w16cid:durableId="1797331095">
    <w:abstractNumId w:val="5"/>
  </w:num>
  <w:num w:numId="3" w16cid:durableId="214856249">
    <w:abstractNumId w:val="8"/>
  </w:num>
  <w:num w:numId="4" w16cid:durableId="1499616861">
    <w:abstractNumId w:val="12"/>
  </w:num>
  <w:num w:numId="5" w16cid:durableId="2073769093">
    <w:abstractNumId w:val="0"/>
  </w:num>
  <w:num w:numId="6" w16cid:durableId="18362904">
    <w:abstractNumId w:val="15"/>
  </w:num>
  <w:num w:numId="7" w16cid:durableId="495341996">
    <w:abstractNumId w:val="16"/>
  </w:num>
  <w:num w:numId="8" w16cid:durableId="195433800">
    <w:abstractNumId w:val="1"/>
  </w:num>
  <w:num w:numId="9" w16cid:durableId="2131320421">
    <w:abstractNumId w:val="9"/>
  </w:num>
  <w:num w:numId="10" w16cid:durableId="292836173">
    <w:abstractNumId w:val="6"/>
  </w:num>
  <w:num w:numId="11" w16cid:durableId="590047722">
    <w:abstractNumId w:val="2"/>
  </w:num>
  <w:num w:numId="12" w16cid:durableId="1674527007">
    <w:abstractNumId w:val="4"/>
  </w:num>
  <w:num w:numId="13" w16cid:durableId="1073697651">
    <w:abstractNumId w:val="3"/>
  </w:num>
  <w:num w:numId="14" w16cid:durableId="1167403472">
    <w:abstractNumId w:val="11"/>
  </w:num>
  <w:num w:numId="15" w16cid:durableId="1282767395">
    <w:abstractNumId w:val="13"/>
  </w:num>
  <w:num w:numId="16" w16cid:durableId="974333673">
    <w:abstractNumId w:val="7"/>
  </w:num>
  <w:num w:numId="17" w16cid:durableId="1874731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222CB4"/>
    <w:rsid w:val="00287C94"/>
    <w:rsid w:val="002E7252"/>
    <w:rsid w:val="003309CA"/>
    <w:rsid w:val="003C1F8E"/>
    <w:rsid w:val="004D30F0"/>
    <w:rsid w:val="005413CA"/>
    <w:rsid w:val="00584E89"/>
    <w:rsid w:val="005C7FFC"/>
    <w:rsid w:val="005E07CD"/>
    <w:rsid w:val="00605891"/>
    <w:rsid w:val="00661EAF"/>
    <w:rsid w:val="00667838"/>
    <w:rsid w:val="00690495"/>
    <w:rsid w:val="00696BE2"/>
    <w:rsid w:val="006B5D91"/>
    <w:rsid w:val="007808B0"/>
    <w:rsid w:val="00782314"/>
    <w:rsid w:val="007A5F11"/>
    <w:rsid w:val="0080562D"/>
    <w:rsid w:val="00887099"/>
    <w:rsid w:val="008877C2"/>
    <w:rsid w:val="008A03CF"/>
    <w:rsid w:val="00954AF8"/>
    <w:rsid w:val="00986E5D"/>
    <w:rsid w:val="00A16F35"/>
    <w:rsid w:val="00A24223"/>
    <w:rsid w:val="00AA1C20"/>
    <w:rsid w:val="00AB049B"/>
    <w:rsid w:val="00AD5757"/>
    <w:rsid w:val="00AF1D04"/>
    <w:rsid w:val="00BB1FFD"/>
    <w:rsid w:val="00BD6DF2"/>
    <w:rsid w:val="00C1515C"/>
    <w:rsid w:val="00C608E4"/>
    <w:rsid w:val="00CA04A0"/>
    <w:rsid w:val="00CA1E33"/>
    <w:rsid w:val="00CA2A1A"/>
    <w:rsid w:val="00CF49F1"/>
    <w:rsid w:val="00D10757"/>
    <w:rsid w:val="00D5294C"/>
    <w:rsid w:val="00EC4AA6"/>
    <w:rsid w:val="00F36B5F"/>
    <w:rsid w:val="00F5483A"/>
    <w:rsid w:val="00F610EE"/>
    <w:rsid w:val="00FC5F7D"/>
    <w:rsid w:val="00FC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587228630">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dgeview.service.agreements@bluecrossm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AA6A7.11DC4B10"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arecoordination.bluecrossmn.com/wp-content/uploads/2024/03/MSHO-MSC-Community-Care-Coordination-Guidelines-1-12-202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211</Words>
  <Characters>1209</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Ness, Cate</cp:lastModifiedBy>
  <cp:revision>3</cp:revision>
  <cp:lastPrinted>2023-04-13T19:37:00Z</cp:lastPrinted>
  <dcterms:created xsi:type="dcterms:W3CDTF">2024-05-17T21:12:00Z</dcterms:created>
  <dcterms:modified xsi:type="dcterms:W3CDTF">2024-05-17T21:13:00Z</dcterms:modified>
</cp:coreProperties>
</file>