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4836EE5D" w14:textId="43F315D0" w:rsidR="004A4E82" w:rsidRPr="00E8275A" w:rsidRDefault="00C608E4" w:rsidP="00E8275A">
            <w:pPr>
              <w:spacing w:before="60" w:after="60"/>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6C15B21D">
                      <wp:simplePos x="0" y="0"/>
                      <wp:positionH relativeFrom="column">
                        <wp:posOffset>10160</wp:posOffset>
                      </wp:positionH>
                      <wp:positionV relativeFrom="paragraph">
                        <wp:posOffset>55880</wp:posOffset>
                      </wp:positionV>
                      <wp:extent cx="7162800" cy="51816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18160"/>
                              </a:xfrm>
                              <a:prstGeom prst="rect">
                                <a:avLst/>
                              </a:prstGeom>
                              <a:solidFill>
                                <a:srgbClr val="FFFFFF"/>
                              </a:solidFill>
                              <a:ln w="9525">
                                <a:noFill/>
                                <a:miter lim="800000"/>
                                <a:headEnd/>
                                <a:tailEnd/>
                              </a:ln>
                            </wps:spPr>
                            <wps:txbx>
                              <w:txbxContent>
                                <w:p w14:paraId="1D4BA1CD" w14:textId="47E67B75" w:rsidR="00C608E4" w:rsidRPr="00C608E4" w:rsidRDefault="004A4E82" w:rsidP="00C608E4">
                                  <w:pPr>
                                    <w:jc w:val="center"/>
                                    <w:rPr>
                                      <w:color w:val="002060"/>
                                      <w:sz w:val="48"/>
                                      <w:szCs w:val="48"/>
                                    </w:rPr>
                                  </w:pPr>
                                  <w:r>
                                    <w:rPr>
                                      <w:color w:val="002060"/>
                                      <w:sz w:val="48"/>
                                      <w:szCs w:val="48"/>
                                    </w:rPr>
                                    <w:t>Bridgeview Care Coordination User Guide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8pt;margin-top:4.4pt;width:564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" stroked="f">
                      <v:textbox>
                        <w:txbxContent>
                          <w:p w14:paraId="1D4BA1CD" w14:textId="47E67B75" w:rsidR="00C608E4" w:rsidRPr="00C608E4" w:rsidRDefault="004A4E82" w:rsidP="00C608E4">
                            <w:pPr>
                              <w:jc w:val="center"/>
                              <w:rPr>
                                <w:color w:val="002060"/>
                                <w:sz w:val="48"/>
                                <w:szCs w:val="48"/>
                              </w:rPr>
                            </w:pPr>
                            <w:r>
                              <w:rPr>
                                <w:color w:val="002060"/>
                                <w:sz w:val="48"/>
                                <w:szCs w:val="48"/>
                              </w:rPr>
                              <w:t>Bridgeview Care Coordination User Guide Updates</w:t>
                            </w:r>
                          </w:p>
                        </w:txbxContent>
                      </v:textbox>
                      <w10:wrap type="square"/>
                    </v:shape>
                  </w:pict>
                </mc:Fallback>
              </mc:AlternateContent>
            </w:r>
            <w:r w:rsidR="00890BCE" w:rsidRPr="00E8275A">
              <w:rPr>
                <w:rFonts w:cstheme="minorHAnsi"/>
                <w:sz w:val="24"/>
                <w:szCs w:val="24"/>
              </w:rPr>
              <w:t xml:space="preserve">April </w:t>
            </w:r>
            <w:r w:rsidR="0097111A" w:rsidRPr="00E8275A">
              <w:rPr>
                <w:rFonts w:cstheme="minorHAnsi"/>
                <w:sz w:val="24"/>
                <w:szCs w:val="24"/>
              </w:rPr>
              <w:t>05</w:t>
            </w:r>
            <w:r w:rsidR="004A4E82" w:rsidRPr="00E8275A">
              <w:rPr>
                <w:rFonts w:cstheme="minorHAnsi"/>
                <w:sz w:val="24"/>
                <w:szCs w:val="24"/>
              </w:rPr>
              <w:t>, 2024</w:t>
            </w:r>
            <w:permStart w:id="2137481111" w:edGrp="everyone"/>
            <w:permEnd w:id="2137481111"/>
          </w:p>
          <w:p w14:paraId="7E63514E" w14:textId="77777777" w:rsidR="004A4E82" w:rsidRPr="00E8275A" w:rsidRDefault="004A4E82" w:rsidP="004A4E82">
            <w:pPr>
              <w:rPr>
                <w:rFonts w:cstheme="minorHAnsi"/>
                <w:sz w:val="24"/>
                <w:szCs w:val="24"/>
              </w:rPr>
            </w:pPr>
            <w:r w:rsidRPr="00E8275A">
              <w:rPr>
                <w:rFonts w:cstheme="minorHAnsi"/>
                <w:sz w:val="24"/>
                <w:szCs w:val="24"/>
              </w:rPr>
              <w:t xml:space="preserve">Dear Care Coordination Partners,   </w:t>
            </w:r>
          </w:p>
          <w:p w14:paraId="43331047" w14:textId="77777777" w:rsidR="004A4E82" w:rsidRPr="00E8275A" w:rsidRDefault="004A4E82" w:rsidP="004A4E82">
            <w:pPr>
              <w:rPr>
                <w:rFonts w:cstheme="minorHAnsi"/>
                <w:sz w:val="24"/>
                <w:szCs w:val="24"/>
              </w:rPr>
            </w:pPr>
          </w:p>
          <w:p w14:paraId="19043FD9" w14:textId="77777777" w:rsidR="004A4E82" w:rsidRPr="00E8275A" w:rsidRDefault="004A4E82" w:rsidP="004A4E82">
            <w:pPr>
              <w:jc w:val="both"/>
              <w:rPr>
                <w:rFonts w:cstheme="minorHAnsi"/>
                <w:sz w:val="24"/>
                <w:szCs w:val="24"/>
              </w:rPr>
            </w:pPr>
            <w:r w:rsidRPr="00E8275A">
              <w:rPr>
                <w:rFonts w:cstheme="minorHAnsi"/>
                <w:sz w:val="24"/>
                <w:szCs w:val="24"/>
              </w:rPr>
              <w:t xml:space="preserve">The Care Coordinator User Guide has been updated and will be posted to the Care Coordination and Bridgeview websites.  The most recent changes will be in </w:t>
            </w:r>
            <w:r w:rsidRPr="00E8275A">
              <w:rPr>
                <w:rFonts w:cstheme="minorHAnsi"/>
                <w:color w:val="FF0000"/>
                <w:sz w:val="24"/>
                <w:szCs w:val="24"/>
              </w:rPr>
              <w:t>red</w:t>
            </w:r>
            <w:r w:rsidRPr="00E8275A">
              <w:rPr>
                <w:rFonts w:cstheme="minorHAnsi"/>
                <w:sz w:val="24"/>
                <w:szCs w:val="24"/>
              </w:rPr>
              <w:t xml:space="preserve"> font for easy identification.  The following are a few highlights:</w:t>
            </w:r>
          </w:p>
          <w:p w14:paraId="54AFE0A2" w14:textId="68D53330" w:rsidR="00E95897" w:rsidRPr="00E8275A" w:rsidRDefault="00E95897" w:rsidP="00E95897">
            <w:pPr>
              <w:pStyle w:val="ListParagraph"/>
              <w:numPr>
                <w:ilvl w:val="0"/>
                <w:numId w:val="17"/>
              </w:numPr>
              <w:spacing w:line="240" w:lineRule="auto"/>
              <w:rPr>
                <w:rFonts w:cstheme="minorHAnsi"/>
                <w:sz w:val="24"/>
                <w:szCs w:val="24"/>
              </w:rPr>
            </w:pPr>
            <w:r w:rsidRPr="00E8275A">
              <w:rPr>
                <w:rFonts w:cstheme="minorHAnsi"/>
                <w:sz w:val="24"/>
                <w:szCs w:val="24"/>
              </w:rPr>
              <w:t>Due to many system enhancements and replacing M360 with Helios, many screenshots have been updated throughout.</w:t>
            </w:r>
          </w:p>
          <w:p w14:paraId="5068D9FA" w14:textId="4CDC90C4" w:rsidR="00E95897" w:rsidRPr="00E8275A" w:rsidRDefault="00E15BE4" w:rsidP="00E95897">
            <w:pPr>
              <w:pStyle w:val="ListParagraph"/>
              <w:numPr>
                <w:ilvl w:val="0"/>
                <w:numId w:val="17"/>
              </w:numPr>
              <w:spacing w:line="240" w:lineRule="auto"/>
              <w:rPr>
                <w:rFonts w:cstheme="minorHAnsi"/>
                <w:sz w:val="24"/>
                <w:szCs w:val="24"/>
              </w:rPr>
            </w:pPr>
            <w:r w:rsidRPr="00E8275A">
              <w:rPr>
                <w:rFonts w:cstheme="minorHAnsi"/>
                <w:b/>
                <w:bCs/>
                <w:sz w:val="24"/>
                <w:szCs w:val="24"/>
              </w:rPr>
              <w:t>Trouble Shooting Tips for Access Issues</w:t>
            </w:r>
            <w:r w:rsidR="00E8275A">
              <w:rPr>
                <w:rFonts w:cstheme="minorHAnsi"/>
                <w:b/>
                <w:bCs/>
                <w:sz w:val="24"/>
                <w:szCs w:val="24"/>
              </w:rPr>
              <w:t xml:space="preserve"> -</w:t>
            </w:r>
            <w:r w:rsidRPr="00E8275A">
              <w:rPr>
                <w:rFonts w:cstheme="minorHAnsi"/>
                <w:sz w:val="24"/>
                <w:szCs w:val="24"/>
              </w:rPr>
              <w:t xml:space="preserve"> </w:t>
            </w:r>
            <w:r w:rsidR="00AA77AB" w:rsidRPr="00E8275A">
              <w:rPr>
                <w:rFonts w:cstheme="minorHAnsi"/>
                <w:sz w:val="24"/>
                <w:szCs w:val="24"/>
              </w:rPr>
              <w:t xml:space="preserve">Instructions for </w:t>
            </w:r>
            <w:r w:rsidR="00E95897" w:rsidRPr="00E8275A">
              <w:rPr>
                <w:rFonts w:cstheme="minorHAnsi"/>
                <w:color w:val="1F3864" w:themeColor="accent1" w:themeShade="80"/>
                <w:sz w:val="24"/>
                <w:szCs w:val="24"/>
              </w:rPr>
              <w:t xml:space="preserve">What to do if locked out </w:t>
            </w:r>
            <w:r w:rsidR="00E95897" w:rsidRPr="00E8275A">
              <w:rPr>
                <w:rFonts w:cstheme="minorHAnsi"/>
                <w:sz w:val="24"/>
                <w:szCs w:val="24"/>
              </w:rPr>
              <w:t>added</w:t>
            </w:r>
            <w:r w:rsidRPr="00E8275A">
              <w:rPr>
                <w:rFonts w:cstheme="minorHAnsi"/>
                <w:sz w:val="24"/>
                <w:szCs w:val="24"/>
              </w:rPr>
              <w:t>.</w:t>
            </w:r>
          </w:p>
          <w:p w14:paraId="6CFA4824" w14:textId="55E899F7" w:rsidR="00E95897" w:rsidRPr="00E8275A" w:rsidRDefault="00E95897" w:rsidP="00E95897">
            <w:pPr>
              <w:pStyle w:val="ListParagraph"/>
              <w:numPr>
                <w:ilvl w:val="0"/>
                <w:numId w:val="17"/>
              </w:numPr>
              <w:spacing w:line="240" w:lineRule="auto"/>
              <w:rPr>
                <w:rFonts w:cstheme="minorHAnsi"/>
                <w:sz w:val="24"/>
                <w:szCs w:val="24"/>
              </w:rPr>
            </w:pPr>
            <w:r w:rsidRPr="00E8275A">
              <w:rPr>
                <w:rFonts w:cstheme="minorHAnsi"/>
                <w:b/>
                <w:bCs/>
                <w:sz w:val="24"/>
                <w:szCs w:val="24"/>
              </w:rPr>
              <w:t>Renewal reports</w:t>
            </w:r>
            <w:r w:rsidR="0002674A" w:rsidRPr="00E8275A">
              <w:rPr>
                <w:rFonts w:cstheme="minorHAnsi"/>
                <w:sz w:val="24"/>
                <w:szCs w:val="24"/>
              </w:rPr>
              <w:t>—new section added with a brief description and instructions related to this report.</w:t>
            </w:r>
          </w:p>
          <w:p w14:paraId="406E4CB3" w14:textId="06F12FB7" w:rsidR="00AA77AB" w:rsidRPr="00E8275A" w:rsidRDefault="00890BCE" w:rsidP="007F01B9">
            <w:pPr>
              <w:pStyle w:val="ListParagraph"/>
              <w:numPr>
                <w:ilvl w:val="0"/>
                <w:numId w:val="17"/>
              </w:numPr>
              <w:spacing w:line="240" w:lineRule="auto"/>
              <w:rPr>
                <w:rFonts w:cstheme="minorHAnsi"/>
                <w:sz w:val="24"/>
                <w:szCs w:val="24"/>
              </w:rPr>
            </w:pPr>
            <w:r w:rsidRPr="00E8275A">
              <w:rPr>
                <w:rFonts w:cstheme="minorHAnsi"/>
                <w:b/>
                <w:bCs/>
                <w:sz w:val="24"/>
                <w:szCs w:val="24"/>
              </w:rPr>
              <w:t>Entering Health Risk Assessments General Process</w:t>
            </w:r>
            <w:r w:rsidRPr="00E8275A">
              <w:rPr>
                <w:rFonts w:cstheme="minorHAnsi"/>
                <w:sz w:val="24"/>
                <w:szCs w:val="24"/>
              </w:rPr>
              <w:t>—</w:t>
            </w:r>
          </w:p>
          <w:p w14:paraId="62814139" w14:textId="77777777" w:rsidR="00AA77AB" w:rsidRPr="00E8275A" w:rsidRDefault="00AA77AB" w:rsidP="00AA77AB">
            <w:pPr>
              <w:pStyle w:val="ListParagraph"/>
              <w:numPr>
                <w:ilvl w:val="1"/>
                <w:numId w:val="17"/>
              </w:numPr>
              <w:spacing w:line="240" w:lineRule="auto"/>
              <w:rPr>
                <w:rFonts w:cstheme="minorHAnsi"/>
                <w:sz w:val="24"/>
                <w:szCs w:val="24"/>
              </w:rPr>
            </w:pPr>
            <w:r w:rsidRPr="00E8275A">
              <w:rPr>
                <w:rFonts w:cstheme="minorHAnsi"/>
                <w:b/>
                <w:bCs/>
                <w:color w:val="1F3864" w:themeColor="accent1" w:themeShade="80"/>
                <w:sz w:val="24"/>
                <w:szCs w:val="24"/>
              </w:rPr>
              <w:t>HRA Form Drop-Down Options</w:t>
            </w:r>
            <w:r w:rsidRPr="00E8275A">
              <w:rPr>
                <w:rFonts w:cstheme="minorHAnsi"/>
                <w:sz w:val="24"/>
                <w:szCs w:val="24"/>
              </w:rPr>
              <w:t>—added clarifying language to some descriptions in this table.</w:t>
            </w:r>
          </w:p>
          <w:p w14:paraId="54ABAF8F" w14:textId="13B00B84" w:rsidR="00E15BE4" w:rsidRPr="00E8275A" w:rsidRDefault="00890BCE" w:rsidP="00AA77AB">
            <w:pPr>
              <w:pStyle w:val="ListParagraph"/>
              <w:numPr>
                <w:ilvl w:val="1"/>
                <w:numId w:val="17"/>
              </w:numPr>
              <w:spacing w:line="240" w:lineRule="auto"/>
              <w:rPr>
                <w:rFonts w:cstheme="minorHAnsi"/>
                <w:sz w:val="24"/>
                <w:szCs w:val="24"/>
              </w:rPr>
            </w:pPr>
            <w:r w:rsidRPr="00E8275A">
              <w:rPr>
                <w:rFonts w:cstheme="minorHAnsi"/>
                <w:b/>
                <w:bCs/>
                <w:color w:val="1F3864" w:themeColor="accent1" w:themeShade="80"/>
                <w:sz w:val="24"/>
                <w:szCs w:val="24"/>
              </w:rPr>
              <w:t xml:space="preserve">Assessment </w:t>
            </w:r>
            <w:r w:rsidR="007F01B9" w:rsidRPr="00E8275A">
              <w:rPr>
                <w:rFonts w:cstheme="minorHAnsi"/>
                <w:b/>
                <w:bCs/>
                <w:color w:val="1F3864" w:themeColor="accent1" w:themeShade="80"/>
                <w:sz w:val="24"/>
                <w:szCs w:val="24"/>
              </w:rPr>
              <w:t>In-person</w:t>
            </w:r>
            <w:r w:rsidR="007F01B9" w:rsidRPr="00E8275A">
              <w:rPr>
                <w:rFonts w:cstheme="minorHAnsi"/>
                <w:color w:val="1F3864" w:themeColor="accent1" w:themeShade="80"/>
                <w:sz w:val="24"/>
                <w:szCs w:val="24"/>
              </w:rPr>
              <w:t xml:space="preserve"> </w:t>
            </w:r>
            <w:r w:rsidR="007F01B9" w:rsidRPr="00E8275A">
              <w:rPr>
                <w:rFonts w:cstheme="minorHAnsi"/>
                <w:sz w:val="24"/>
                <w:szCs w:val="24"/>
              </w:rPr>
              <w:t>field</w:t>
            </w:r>
            <w:r w:rsidR="0002674A" w:rsidRPr="00E8275A">
              <w:rPr>
                <w:rFonts w:cstheme="minorHAnsi"/>
                <w:sz w:val="24"/>
                <w:szCs w:val="24"/>
              </w:rPr>
              <w:t xml:space="preserve"> was changed.  Instructions for the use of </w:t>
            </w:r>
            <w:r w:rsidRPr="00E8275A">
              <w:rPr>
                <w:rFonts w:cstheme="minorHAnsi"/>
                <w:sz w:val="24"/>
                <w:szCs w:val="24"/>
              </w:rPr>
              <w:t xml:space="preserve">each drop-down option was added to assist in tracking </w:t>
            </w:r>
            <w:r w:rsidR="007665B3" w:rsidRPr="00E8275A">
              <w:rPr>
                <w:rFonts w:cstheme="minorHAnsi"/>
                <w:sz w:val="24"/>
                <w:szCs w:val="24"/>
              </w:rPr>
              <w:t>when</w:t>
            </w:r>
            <w:r w:rsidRPr="00E8275A">
              <w:rPr>
                <w:rFonts w:cstheme="minorHAnsi"/>
                <w:sz w:val="24"/>
                <w:szCs w:val="24"/>
              </w:rPr>
              <w:t xml:space="preserve"> remote assessments are </w:t>
            </w:r>
            <w:r w:rsidR="007665B3" w:rsidRPr="00E8275A">
              <w:rPr>
                <w:rFonts w:cstheme="minorHAnsi"/>
                <w:sz w:val="24"/>
                <w:szCs w:val="24"/>
              </w:rPr>
              <w:t xml:space="preserve">completed to assure the next assessment is done in person. </w:t>
            </w:r>
          </w:p>
          <w:p w14:paraId="5864D1D9" w14:textId="77777777" w:rsidR="00E15BE4" w:rsidRPr="00E8275A" w:rsidRDefault="00890BCE" w:rsidP="00AA77AB">
            <w:pPr>
              <w:pStyle w:val="ListParagraph"/>
              <w:numPr>
                <w:ilvl w:val="2"/>
                <w:numId w:val="17"/>
              </w:numPr>
              <w:spacing w:before="0" w:line="240" w:lineRule="auto"/>
              <w:rPr>
                <w:rFonts w:cstheme="minorHAnsi"/>
                <w:sz w:val="24"/>
                <w:szCs w:val="24"/>
              </w:rPr>
            </w:pPr>
            <w:r w:rsidRPr="00E8275A">
              <w:rPr>
                <w:rFonts w:cstheme="minorHAnsi"/>
                <w:sz w:val="24"/>
                <w:szCs w:val="24"/>
              </w:rPr>
              <w:t xml:space="preserve">Select “yes” if assessment was completed in person.  </w:t>
            </w:r>
          </w:p>
          <w:p w14:paraId="7CBA03C1" w14:textId="77777777" w:rsidR="00E15BE4" w:rsidRPr="00E8275A" w:rsidRDefault="00890BCE" w:rsidP="00AA77AB">
            <w:pPr>
              <w:pStyle w:val="ListParagraph"/>
              <w:numPr>
                <w:ilvl w:val="2"/>
                <w:numId w:val="17"/>
              </w:numPr>
              <w:spacing w:before="0" w:line="240" w:lineRule="auto"/>
              <w:rPr>
                <w:rFonts w:cstheme="minorHAnsi"/>
                <w:sz w:val="24"/>
                <w:szCs w:val="24"/>
              </w:rPr>
            </w:pPr>
            <w:r w:rsidRPr="00E8275A">
              <w:rPr>
                <w:rFonts w:cstheme="minorHAnsi"/>
                <w:sz w:val="24"/>
                <w:szCs w:val="24"/>
              </w:rPr>
              <w:t xml:space="preserve">Select “no” if assessment was completed remotely.  </w:t>
            </w:r>
          </w:p>
          <w:p w14:paraId="6A58964A" w14:textId="2ED356E9" w:rsidR="007F01B9" w:rsidRPr="00E8275A" w:rsidRDefault="00E15BE4" w:rsidP="00AA77AB">
            <w:pPr>
              <w:pStyle w:val="ListParagraph"/>
              <w:numPr>
                <w:ilvl w:val="2"/>
                <w:numId w:val="17"/>
              </w:numPr>
              <w:spacing w:before="0" w:line="240" w:lineRule="auto"/>
              <w:rPr>
                <w:rFonts w:cstheme="minorHAnsi"/>
                <w:sz w:val="24"/>
                <w:szCs w:val="24"/>
              </w:rPr>
            </w:pPr>
            <w:r w:rsidRPr="00E8275A">
              <w:rPr>
                <w:rFonts w:cstheme="minorHAnsi"/>
                <w:sz w:val="24"/>
                <w:szCs w:val="24"/>
              </w:rPr>
              <w:t>Select “Done by FFS/Other/MCO/Unknown” when entering the FFS assessment for Transitional HRA and CC is unaware if the previous assessment was done in person.</w:t>
            </w:r>
            <w:r w:rsidR="0002674A" w:rsidRPr="00E8275A">
              <w:rPr>
                <w:rFonts w:cstheme="minorHAnsi"/>
                <w:sz w:val="24"/>
                <w:szCs w:val="24"/>
              </w:rPr>
              <w:t xml:space="preserve">  </w:t>
            </w:r>
          </w:p>
          <w:p w14:paraId="3BA51826" w14:textId="0259A3F1" w:rsidR="002D2C56" w:rsidRPr="00E8275A" w:rsidRDefault="002D2C56" w:rsidP="002D2C56">
            <w:pPr>
              <w:pStyle w:val="ListParagraph"/>
              <w:numPr>
                <w:ilvl w:val="0"/>
                <w:numId w:val="17"/>
              </w:numPr>
              <w:spacing w:line="240" w:lineRule="auto"/>
              <w:rPr>
                <w:rFonts w:cstheme="minorHAnsi"/>
                <w:sz w:val="24"/>
                <w:szCs w:val="24"/>
              </w:rPr>
            </w:pPr>
            <w:r w:rsidRPr="00E8275A">
              <w:rPr>
                <w:rFonts w:cstheme="minorHAnsi"/>
                <w:b/>
                <w:bCs/>
                <w:noProof/>
                <w:sz w:val="24"/>
                <w:szCs w:val="24"/>
              </w:rPr>
              <w:drawing>
                <wp:anchor distT="0" distB="0" distL="114300" distR="114300" simplePos="0" relativeHeight="251661312" behindDoc="0" locked="0" layoutInCell="1" allowOverlap="1" wp14:anchorId="2D7A1C53" wp14:editId="4E8FE22A">
                  <wp:simplePos x="0" y="0"/>
                  <wp:positionH relativeFrom="column">
                    <wp:posOffset>4912995</wp:posOffset>
                  </wp:positionH>
                  <wp:positionV relativeFrom="paragraph">
                    <wp:posOffset>88265</wp:posOffset>
                  </wp:positionV>
                  <wp:extent cx="399415" cy="208915"/>
                  <wp:effectExtent l="190500" t="190500" r="172085" b="191135"/>
                  <wp:wrapNone/>
                  <wp:docPr id="106824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44279" name=""/>
                          <pic:cNvPicPr/>
                        </pic:nvPicPr>
                        <pic:blipFill>
                          <a:blip r:embed="rId7">
                            <a:extLst>
                              <a:ext uri="{28A0092B-C50C-407E-A947-70E740481C1C}">
                                <a14:useLocalDpi xmlns:a14="http://schemas.microsoft.com/office/drawing/2010/main" val="0"/>
                              </a:ext>
                            </a:extLst>
                          </a:blip>
                          <a:stretch>
                            <a:fillRect/>
                          </a:stretch>
                        </pic:blipFill>
                        <pic:spPr>
                          <a:xfrm>
                            <a:off x="0" y="0"/>
                            <a:ext cx="399415" cy="208915"/>
                          </a:xfrm>
                          <a:prstGeom prst="rect">
                            <a:avLst/>
                          </a:prstGeom>
                          <a:ln>
                            <a:noFill/>
                          </a:ln>
                          <a:effectLst>
                            <a:outerShdw blurRad="190500" algn="tl" rotWithShape="0">
                              <a:srgbClr val="000000">
                                <a:alpha val="70000"/>
                              </a:srgbClr>
                            </a:outerShdw>
                          </a:effectLst>
                        </pic:spPr>
                      </pic:pic>
                    </a:graphicData>
                  </a:graphic>
                </wp:anchor>
              </w:drawing>
            </w:r>
            <w:r w:rsidRPr="00E8275A">
              <w:rPr>
                <w:rFonts w:cstheme="minorHAnsi"/>
                <w:b/>
                <w:bCs/>
                <w:sz w:val="24"/>
                <w:szCs w:val="24"/>
              </w:rPr>
              <w:t xml:space="preserve">Requesting an Edit or Deletion of an HRA entry— </w:t>
            </w:r>
            <w:r w:rsidRPr="00E8275A">
              <w:rPr>
                <w:rFonts w:cstheme="minorHAnsi"/>
                <w:sz w:val="24"/>
                <w:szCs w:val="24"/>
              </w:rPr>
              <w:t>added new icon                  in Assessment History section. Users can click on the icon to view comments for approved assessment edits if applicable (comment section has a 250-character limit). Comments will only display if there has been an approved edit.</w:t>
            </w:r>
          </w:p>
          <w:p w14:paraId="6DF8516C" w14:textId="4857EF7B" w:rsidR="007F01B9" w:rsidRPr="00E8275A" w:rsidRDefault="007F01B9" w:rsidP="00E95897">
            <w:pPr>
              <w:pStyle w:val="ListParagraph"/>
              <w:numPr>
                <w:ilvl w:val="0"/>
                <w:numId w:val="17"/>
              </w:numPr>
              <w:spacing w:line="240" w:lineRule="auto"/>
              <w:rPr>
                <w:rFonts w:cstheme="minorHAnsi"/>
                <w:sz w:val="24"/>
                <w:szCs w:val="24"/>
              </w:rPr>
            </w:pPr>
            <w:r w:rsidRPr="00E8275A">
              <w:rPr>
                <w:rFonts w:cstheme="minorHAnsi"/>
                <w:b/>
                <w:bCs/>
                <w:sz w:val="24"/>
                <w:szCs w:val="24"/>
              </w:rPr>
              <w:lastRenderedPageBreak/>
              <w:t>HRA Audit Process</w:t>
            </w:r>
            <w:r w:rsidRPr="00E8275A">
              <w:rPr>
                <w:rFonts w:cstheme="minorHAnsi"/>
                <w:sz w:val="24"/>
                <w:szCs w:val="24"/>
              </w:rPr>
              <w:t xml:space="preserve">—added clarifying language regarding documentation required for HRA audit </w:t>
            </w:r>
            <w:proofErr w:type="gramStart"/>
            <w:r w:rsidRPr="00E8275A">
              <w:rPr>
                <w:rFonts w:cstheme="minorHAnsi"/>
                <w:sz w:val="24"/>
                <w:szCs w:val="24"/>
              </w:rPr>
              <w:t>process</w:t>
            </w:r>
            <w:proofErr w:type="gramEnd"/>
          </w:p>
          <w:p w14:paraId="3FADB6DF" w14:textId="6BF4EC6C" w:rsidR="007F01B9" w:rsidRPr="00E8275A" w:rsidRDefault="007F01B9" w:rsidP="007F01B9">
            <w:pPr>
              <w:pStyle w:val="ListParagraph"/>
              <w:numPr>
                <w:ilvl w:val="0"/>
                <w:numId w:val="17"/>
              </w:numPr>
              <w:spacing w:line="240" w:lineRule="auto"/>
              <w:rPr>
                <w:rFonts w:cstheme="minorHAnsi"/>
                <w:sz w:val="24"/>
                <w:szCs w:val="24"/>
              </w:rPr>
            </w:pPr>
            <w:r w:rsidRPr="00E8275A">
              <w:rPr>
                <w:rFonts w:cstheme="minorHAnsi"/>
                <w:b/>
                <w:bCs/>
                <w:sz w:val="24"/>
                <w:szCs w:val="24"/>
              </w:rPr>
              <w:t>Date of Death</w:t>
            </w:r>
            <w:r w:rsidRPr="00E8275A">
              <w:rPr>
                <w:rFonts w:cstheme="minorHAnsi"/>
                <w:sz w:val="24"/>
                <w:szCs w:val="24"/>
              </w:rPr>
              <w:t>—Additional instructions added: Members may continue to show as due/past due for their reassessment</w:t>
            </w:r>
            <w:r w:rsidR="00BF16BF" w:rsidRPr="00E8275A">
              <w:rPr>
                <w:rFonts w:cstheme="minorHAnsi"/>
                <w:sz w:val="24"/>
                <w:szCs w:val="24"/>
              </w:rPr>
              <w:t xml:space="preserve"> after date of death has been entered.  C</w:t>
            </w:r>
            <w:r w:rsidRPr="00E8275A">
              <w:rPr>
                <w:rFonts w:cstheme="minorHAnsi"/>
                <w:sz w:val="24"/>
                <w:szCs w:val="24"/>
              </w:rPr>
              <w:t xml:space="preserve">onfirm the DOD is entered in this field and the DHS 5181 has been completed and sent to the Financial Worker. If this been completed and you want the assessment due/past due flag removed, send a secure email to </w:t>
            </w:r>
            <w:hyperlink r:id="rId8" w:history="1">
              <w:r w:rsidRPr="00E8275A">
                <w:rPr>
                  <w:rStyle w:val="Hyperlink"/>
                  <w:rFonts w:cstheme="minorHAnsi"/>
                  <w:sz w:val="24"/>
                  <w:szCs w:val="24"/>
                </w:rPr>
                <w:t>bridgeview.service.agreements@bluecrossmn.com</w:t>
              </w:r>
            </w:hyperlink>
            <w:r w:rsidRPr="00E8275A">
              <w:rPr>
                <w:rFonts w:cstheme="minorHAnsi"/>
                <w:sz w:val="24"/>
                <w:szCs w:val="24"/>
              </w:rPr>
              <w:t>.</w:t>
            </w:r>
          </w:p>
          <w:p w14:paraId="7322ECB9" w14:textId="77777777" w:rsidR="002E04EB" w:rsidRPr="00E8275A" w:rsidRDefault="006F7F75" w:rsidP="00E95897">
            <w:pPr>
              <w:pStyle w:val="ListParagraph"/>
              <w:numPr>
                <w:ilvl w:val="0"/>
                <w:numId w:val="17"/>
              </w:numPr>
              <w:spacing w:line="240" w:lineRule="auto"/>
              <w:rPr>
                <w:rFonts w:cstheme="minorHAnsi"/>
                <w:sz w:val="24"/>
                <w:szCs w:val="24"/>
              </w:rPr>
            </w:pPr>
            <w:r w:rsidRPr="00E8275A">
              <w:rPr>
                <w:rFonts w:cstheme="minorHAnsi"/>
                <w:b/>
                <w:bCs/>
                <w:sz w:val="24"/>
                <w:szCs w:val="24"/>
              </w:rPr>
              <w:t xml:space="preserve">Consumer-directed community supports (CDCS) Service Agreements </w:t>
            </w:r>
            <w:r w:rsidR="005D7E58" w:rsidRPr="00E8275A">
              <w:rPr>
                <w:rFonts w:cstheme="minorHAnsi"/>
                <w:sz w:val="24"/>
                <w:szCs w:val="24"/>
              </w:rPr>
              <w:t>—</w:t>
            </w:r>
          </w:p>
          <w:p w14:paraId="479A882B" w14:textId="2302E2CD" w:rsidR="002E04EB" w:rsidRPr="00E8275A" w:rsidRDefault="00A66F32" w:rsidP="002E04EB">
            <w:pPr>
              <w:pStyle w:val="ListParagraph"/>
              <w:numPr>
                <w:ilvl w:val="1"/>
                <w:numId w:val="17"/>
              </w:numPr>
              <w:spacing w:before="0" w:line="240" w:lineRule="auto"/>
              <w:rPr>
                <w:rFonts w:cstheme="minorHAnsi"/>
                <w:sz w:val="24"/>
                <w:szCs w:val="24"/>
              </w:rPr>
            </w:pPr>
            <w:r w:rsidRPr="00E8275A">
              <w:rPr>
                <w:rFonts w:cstheme="minorHAnsi"/>
                <w:sz w:val="24"/>
                <w:szCs w:val="24"/>
              </w:rPr>
              <w:t>A</w:t>
            </w:r>
            <w:r w:rsidR="005D7E58" w:rsidRPr="00E8275A">
              <w:rPr>
                <w:rFonts w:cstheme="minorHAnsi"/>
                <w:sz w:val="24"/>
                <w:szCs w:val="24"/>
              </w:rPr>
              <w:t>dditional clarifying language added related to Service Type; approved amounts</w:t>
            </w:r>
            <w:r w:rsidR="002E04EB" w:rsidRPr="00E8275A">
              <w:rPr>
                <w:rFonts w:cstheme="minorHAnsi"/>
                <w:sz w:val="24"/>
                <w:szCs w:val="24"/>
              </w:rPr>
              <w:t>/limits</w:t>
            </w:r>
            <w:r w:rsidR="005D7E58" w:rsidRPr="00E8275A">
              <w:rPr>
                <w:rFonts w:cstheme="minorHAnsi"/>
                <w:sz w:val="24"/>
                <w:szCs w:val="24"/>
              </w:rPr>
              <w:t>; and entering the required Case Management T2041 for Delegates with PMPM contracted arrangements</w:t>
            </w:r>
            <w:r w:rsidR="002E04EB" w:rsidRPr="00E8275A">
              <w:rPr>
                <w:rFonts w:cstheme="minorHAnsi"/>
                <w:sz w:val="24"/>
                <w:szCs w:val="24"/>
              </w:rPr>
              <w:t xml:space="preserve">.  </w:t>
            </w:r>
          </w:p>
          <w:p w14:paraId="129B4317" w14:textId="41E12314" w:rsidR="002E04EB" w:rsidRPr="00E8275A" w:rsidRDefault="005D7E58" w:rsidP="002E04EB">
            <w:pPr>
              <w:pStyle w:val="ListParagraph"/>
              <w:numPr>
                <w:ilvl w:val="1"/>
                <w:numId w:val="17"/>
              </w:numPr>
              <w:spacing w:before="0" w:line="240" w:lineRule="auto"/>
              <w:rPr>
                <w:rFonts w:cstheme="minorHAnsi"/>
                <w:sz w:val="24"/>
                <w:szCs w:val="24"/>
              </w:rPr>
            </w:pPr>
            <w:r w:rsidRPr="00E8275A">
              <w:rPr>
                <w:rFonts w:cstheme="minorHAnsi"/>
                <w:sz w:val="24"/>
                <w:szCs w:val="24"/>
              </w:rPr>
              <w:t>Ad</w:t>
            </w:r>
            <w:r w:rsidR="002E04EB" w:rsidRPr="00E8275A">
              <w:rPr>
                <w:rFonts w:cstheme="minorHAnsi"/>
                <w:sz w:val="24"/>
                <w:szCs w:val="24"/>
              </w:rPr>
              <w:t>ded</w:t>
            </w:r>
            <w:r w:rsidRPr="00E8275A">
              <w:rPr>
                <w:rFonts w:cstheme="minorHAnsi"/>
                <w:sz w:val="24"/>
                <w:szCs w:val="24"/>
              </w:rPr>
              <w:t>: all EW services should be included in the T2028 service agreement</w:t>
            </w:r>
            <w:r w:rsidR="00A66F32" w:rsidRPr="00E8275A">
              <w:rPr>
                <w:rFonts w:cstheme="minorHAnsi"/>
                <w:sz w:val="24"/>
                <w:szCs w:val="24"/>
              </w:rPr>
              <w:t>.</w:t>
            </w:r>
            <w:r w:rsidR="00330216" w:rsidRPr="00E8275A">
              <w:rPr>
                <w:rFonts w:cstheme="minorHAnsi"/>
                <w:sz w:val="24"/>
                <w:szCs w:val="24"/>
              </w:rPr>
              <w:t xml:space="preserve"> </w:t>
            </w:r>
          </w:p>
          <w:p w14:paraId="0E2631B8" w14:textId="5876040A" w:rsidR="002E04EB" w:rsidRPr="00E8275A" w:rsidRDefault="00330216" w:rsidP="002E04EB">
            <w:pPr>
              <w:pStyle w:val="ListParagraph"/>
              <w:numPr>
                <w:ilvl w:val="1"/>
                <w:numId w:val="17"/>
              </w:numPr>
              <w:spacing w:before="0" w:line="240" w:lineRule="auto"/>
              <w:rPr>
                <w:rFonts w:cstheme="minorHAnsi"/>
                <w:sz w:val="24"/>
                <w:szCs w:val="24"/>
              </w:rPr>
            </w:pPr>
            <w:r w:rsidRPr="00E8275A">
              <w:rPr>
                <w:rFonts w:cstheme="minorHAnsi"/>
                <w:sz w:val="24"/>
                <w:szCs w:val="24"/>
              </w:rPr>
              <w:t>CDCS Service Description requirements updated to include both increases and decreases in services require a statement in the description that the CDCS addendum was reviewed and completed</w:t>
            </w:r>
            <w:r w:rsidR="00A66F32" w:rsidRPr="00E8275A">
              <w:rPr>
                <w:rFonts w:cstheme="minorHAnsi"/>
                <w:sz w:val="24"/>
                <w:szCs w:val="24"/>
              </w:rPr>
              <w:t>.</w:t>
            </w:r>
            <w:r w:rsidR="004C3034" w:rsidRPr="00E8275A">
              <w:rPr>
                <w:rFonts w:cstheme="minorHAnsi"/>
                <w:sz w:val="24"/>
                <w:szCs w:val="24"/>
              </w:rPr>
              <w:t xml:space="preserve"> </w:t>
            </w:r>
          </w:p>
          <w:p w14:paraId="3C23ACEC" w14:textId="696977CF" w:rsidR="007F01B9" w:rsidRPr="00E8275A" w:rsidRDefault="004C3034" w:rsidP="002E04EB">
            <w:pPr>
              <w:pStyle w:val="ListParagraph"/>
              <w:numPr>
                <w:ilvl w:val="1"/>
                <w:numId w:val="17"/>
              </w:numPr>
              <w:spacing w:before="0" w:line="240" w:lineRule="auto"/>
              <w:rPr>
                <w:rFonts w:cstheme="minorHAnsi"/>
                <w:sz w:val="24"/>
                <w:szCs w:val="24"/>
              </w:rPr>
            </w:pPr>
            <w:r w:rsidRPr="00E8275A">
              <w:rPr>
                <w:rFonts w:cstheme="minorHAnsi"/>
                <w:sz w:val="24"/>
                <w:szCs w:val="24"/>
              </w:rPr>
              <w:t>CDCS Legislative Rate Changes was updated that FMS provider while able to bill flexibly from month to month, must stay within the total approved limit authorized during the annual span which cannot be more than the CDCS Limit.</w:t>
            </w:r>
          </w:p>
          <w:p w14:paraId="1A84A47C" w14:textId="77777777" w:rsidR="00E16C3C" w:rsidRPr="00E8275A" w:rsidRDefault="00E16C3C" w:rsidP="004A4E82">
            <w:pPr>
              <w:rPr>
                <w:rFonts w:cstheme="minorHAnsi"/>
                <w:sz w:val="24"/>
                <w:szCs w:val="24"/>
              </w:rPr>
            </w:pPr>
          </w:p>
          <w:p w14:paraId="7AC7FF2F" w14:textId="6A1AA04D" w:rsidR="004A4E82" w:rsidRPr="00E8275A" w:rsidRDefault="004A4E82" w:rsidP="004A4E82">
            <w:pPr>
              <w:rPr>
                <w:rFonts w:cstheme="minorHAnsi"/>
                <w:sz w:val="24"/>
                <w:szCs w:val="24"/>
              </w:rPr>
            </w:pPr>
            <w:r w:rsidRPr="00E8275A">
              <w:rPr>
                <w:rFonts w:cstheme="minorHAnsi"/>
                <w:sz w:val="24"/>
                <w:szCs w:val="24"/>
              </w:rPr>
              <w:t>Let your Partner Relations Consultant know if you have any questions.</w:t>
            </w:r>
          </w:p>
          <w:p w14:paraId="7C2F7D2E" w14:textId="77777777" w:rsidR="00CA04A0" w:rsidRDefault="00CA04A0" w:rsidP="00CA04A0"/>
          <w:p w14:paraId="44E23689" w14:textId="77777777" w:rsidR="00CA04A0" w:rsidRDefault="00CA04A0" w:rsidP="00CA04A0"/>
          <w:p w14:paraId="3553041B" w14:textId="77777777" w:rsidR="00CA04A0" w:rsidRDefault="00CA04A0" w:rsidP="00CA04A0"/>
          <w:p w14:paraId="4CD14D95" w14:textId="77777777" w:rsidR="00CA04A0" w:rsidRDefault="00CA04A0" w:rsidP="00CA04A0"/>
          <w:p w14:paraId="149A3BCD" w14:textId="77777777" w:rsidR="00CA04A0" w:rsidRDefault="00CA04A0" w:rsidP="00CA04A0"/>
          <w:p w14:paraId="7BF4E5CF" w14:textId="77777777" w:rsidR="00CA04A0" w:rsidRDefault="00CA04A0" w:rsidP="00CA04A0"/>
          <w:p w14:paraId="7D213B32" w14:textId="77777777" w:rsidR="00CA04A0" w:rsidRDefault="00CA04A0" w:rsidP="00CA04A0"/>
          <w:p w14:paraId="7EE8D6E2" w14:textId="77777777" w:rsidR="00CA04A0" w:rsidRDefault="00CA04A0" w:rsidP="00CA04A0"/>
          <w:p w14:paraId="4588A7B1" w14:textId="77777777" w:rsidR="00CA04A0" w:rsidRDefault="00CA04A0" w:rsidP="00CA04A0"/>
          <w:p w14:paraId="26961A6D" w14:textId="77777777" w:rsidR="00CA04A0" w:rsidRDefault="00CA04A0" w:rsidP="00CA04A0"/>
          <w:p w14:paraId="67809B5E" w14:textId="77777777" w:rsidR="00CA04A0" w:rsidRDefault="00CA04A0" w:rsidP="00CA04A0"/>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9"/>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746A6864" w:rsidR="00AF1D04" w:rsidRPr="00AF1D04" w:rsidRDefault="00890BC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4-5-2024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746A6864" w:rsidR="00AF1D04" w:rsidRPr="00AF1D04" w:rsidRDefault="00890BC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4-5-2024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4D4573C"/>
    <w:multiLevelType w:val="hybridMultilevel"/>
    <w:tmpl w:val="A3DE08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0"/>
  </w:num>
  <w:num w:numId="2" w16cid:durableId="1797331095">
    <w:abstractNumId w:val="5"/>
  </w:num>
  <w:num w:numId="3" w16cid:durableId="214856249">
    <w:abstractNumId w:val="8"/>
  </w:num>
  <w:num w:numId="4" w16cid:durableId="1499616861">
    <w:abstractNumId w:val="12"/>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9"/>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1"/>
  </w:num>
  <w:num w:numId="15" w16cid:durableId="1282767395">
    <w:abstractNumId w:val="14"/>
  </w:num>
  <w:num w:numId="16" w16cid:durableId="974333673">
    <w:abstractNumId w:val="7"/>
  </w:num>
  <w:num w:numId="17" w16cid:durableId="927615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674A"/>
    <w:rsid w:val="000274AF"/>
    <w:rsid w:val="00150443"/>
    <w:rsid w:val="0018187C"/>
    <w:rsid w:val="00222CB4"/>
    <w:rsid w:val="00287C94"/>
    <w:rsid w:val="002D2C56"/>
    <w:rsid w:val="002E04EB"/>
    <w:rsid w:val="002E7252"/>
    <w:rsid w:val="00330216"/>
    <w:rsid w:val="003C1F8E"/>
    <w:rsid w:val="004A4E82"/>
    <w:rsid w:val="004C3034"/>
    <w:rsid w:val="004D30F0"/>
    <w:rsid w:val="005413CA"/>
    <w:rsid w:val="005C7FFC"/>
    <w:rsid w:val="005D7E58"/>
    <w:rsid w:val="005E07CD"/>
    <w:rsid w:val="00605891"/>
    <w:rsid w:val="00617DE8"/>
    <w:rsid w:val="00661EAF"/>
    <w:rsid w:val="00667838"/>
    <w:rsid w:val="00690495"/>
    <w:rsid w:val="00696BE2"/>
    <w:rsid w:val="006A463D"/>
    <w:rsid w:val="006B5D91"/>
    <w:rsid w:val="006D37A1"/>
    <w:rsid w:val="006F7F75"/>
    <w:rsid w:val="007665B3"/>
    <w:rsid w:val="007808B0"/>
    <w:rsid w:val="007A5F11"/>
    <w:rsid w:val="007F01B9"/>
    <w:rsid w:val="0080562D"/>
    <w:rsid w:val="00823222"/>
    <w:rsid w:val="00887099"/>
    <w:rsid w:val="008877C2"/>
    <w:rsid w:val="00890BCE"/>
    <w:rsid w:val="009041BA"/>
    <w:rsid w:val="00954AF8"/>
    <w:rsid w:val="0097111A"/>
    <w:rsid w:val="00986E5D"/>
    <w:rsid w:val="00A16F35"/>
    <w:rsid w:val="00A24223"/>
    <w:rsid w:val="00A66F32"/>
    <w:rsid w:val="00AA1C20"/>
    <w:rsid w:val="00AA77AB"/>
    <w:rsid w:val="00AB049B"/>
    <w:rsid w:val="00AD5757"/>
    <w:rsid w:val="00AF1D04"/>
    <w:rsid w:val="00BB1FFD"/>
    <w:rsid w:val="00BD6DF2"/>
    <w:rsid w:val="00BF16BF"/>
    <w:rsid w:val="00C608E4"/>
    <w:rsid w:val="00CA04A0"/>
    <w:rsid w:val="00CA1E33"/>
    <w:rsid w:val="00CA2A1A"/>
    <w:rsid w:val="00CD16C0"/>
    <w:rsid w:val="00CF49F1"/>
    <w:rsid w:val="00D06D6F"/>
    <w:rsid w:val="00D27151"/>
    <w:rsid w:val="00D5294C"/>
    <w:rsid w:val="00E15BE4"/>
    <w:rsid w:val="00E16C3C"/>
    <w:rsid w:val="00E8275A"/>
    <w:rsid w:val="00E95897"/>
    <w:rsid w:val="00EB1E27"/>
    <w:rsid w:val="00EC4AA6"/>
    <w:rsid w:val="00F36AA4"/>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styleId="Revision">
    <w:name w:val="Revision"/>
    <w:hidden/>
    <w:uiPriority w:val="99"/>
    <w:semiHidden/>
    <w:rsid w:val="006D3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dgeview.service.agreements@bluecrossm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2485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5</cp:revision>
  <cp:lastPrinted>2023-04-13T19:37:00Z</cp:lastPrinted>
  <dcterms:created xsi:type="dcterms:W3CDTF">2024-04-05T19:52:00Z</dcterms:created>
  <dcterms:modified xsi:type="dcterms:W3CDTF">2024-04-05T20:15:00Z</dcterms:modified>
</cp:coreProperties>
</file>