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7EE8D6E2" w14:textId="3DBEC8DA" w:rsidR="00CA04A0" w:rsidRPr="00E5316A" w:rsidRDefault="00C608E4" w:rsidP="00E5316A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7EBDCD6" w:rsidR="00C608E4" w:rsidRPr="00C608E4" w:rsidRDefault="00A1542D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Authorization of RN T1030 and LPN T1031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7EBDCD6" w:rsidR="00C608E4" w:rsidRPr="00C608E4" w:rsidRDefault="00A1542D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Authorization of RN T1030 and LPN T1031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25B1E9" w14:textId="0FA3F193" w:rsidR="001B2A3B" w:rsidRPr="001B2A3B" w:rsidRDefault="001A6A23" w:rsidP="001B2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Currently w</w:t>
            </w:r>
            <w:r w:rsidR="001B2A3B" w:rsidRPr="001B2A3B">
              <w:rPr>
                <w:sz w:val="24"/>
                <w:szCs w:val="24"/>
              </w:rPr>
              <w:t xml:space="preserve">hen authorizing both LPN </w:t>
            </w:r>
            <w:r w:rsidR="001B2A3B">
              <w:rPr>
                <w:sz w:val="24"/>
                <w:szCs w:val="24"/>
              </w:rPr>
              <w:t xml:space="preserve">(T1031) </w:t>
            </w:r>
            <w:r w:rsidR="001B2A3B" w:rsidRPr="001B2A3B">
              <w:rPr>
                <w:sz w:val="24"/>
                <w:szCs w:val="24"/>
              </w:rPr>
              <w:t>and RN Skilled Nurse Visits (</w:t>
            </w:r>
            <w:r w:rsidR="001B2A3B">
              <w:rPr>
                <w:sz w:val="24"/>
                <w:szCs w:val="24"/>
              </w:rPr>
              <w:t>T1030</w:t>
            </w:r>
            <w:r w:rsidR="001B2A3B" w:rsidRPr="001B2A3B">
              <w:rPr>
                <w:sz w:val="24"/>
                <w:szCs w:val="24"/>
              </w:rPr>
              <w:t>)</w:t>
            </w:r>
            <w:r w:rsidR="001B2A3B">
              <w:rPr>
                <w:sz w:val="24"/>
                <w:szCs w:val="24"/>
              </w:rPr>
              <w:t>,</w:t>
            </w:r>
            <w:r w:rsidR="001B2A3B" w:rsidRPr="001B2A3B">
              <w:rPr>
                <w:sz w:val="24"/>
                <w:szCs w:val="24"/>
              </w:rPr>
              <w:t xml:space="preserve"> two separate service agreements must be entered into Bridgeview</w:t>
            </w:r>
            <w:r w:rsidR="001B2A3B">
              <w:rPr>
                <w:sz w:val="24"/>
                <w:szCs w:val="24"/>
              </w:rPr>
              <w:t xml:space="preserve"> based on provider staffing and member need. </w:t>
            </w:r>
          </w:p>
          <w:p w14:paraId="4B26ED4B" w14:textId="77777777" w:rsidR="001B2A3B" w:rsidRPr="001B2A3B" w:rsidRDefault="001B2A3B" w:rsidP="001B2A3B">
            <w:pPr>
              <w:rPr>
                <w:sz w:val="24"/>
                <w:szCs w:val="24"/>
              </w:rPr>
            </w:pPr>
          </w:p>
          <w:p w14:paraId="18140A0C" w14:textId="792E4A7D" w:rsidR="001B2A3B" w:rsidRPr="001B2A3B" w:rsidRDefault="001B2A3B" w:rsidP="001B2A3B">
            <w:pPr>
              <w:rPr>
                <w:sz w:val="24"/>
                <w:szCs w:val="24"/>
              </w:rPr>
            </w:pPr>
            <w:r w:rsidRPr="001B2A3B">
              <w:rPr>
                <w:sz w:val="24"/>
                <w:szCs w:val="24"/>
              </w:rPr>
              <w:t>If the provider is requiring an adjustment in the ratio of RN and LPN as currently authorized, there are system, claims and tracking limitations that do not allow for</w:t>
            </w:r>
            <w:r w:rsidR="001A6A23">
              <w:rPr>
                <w:sz w:val="24"/>
                <w:szCs w:val="24"/>
              </w:rPr>
              <w:t xml:space="preserve"> units </w:t>
            </w:r>
            <w:r w:rsidR="00461510">
              <w:rPr>
                <w:sz w:val="24"/>
                <w:szCs w:val="24"/>
              </w:rPr>
              <w:t xml:space="preserve">with </w:t>
            </w:r>
            <w:r w:rsidR="00461510" w:rsidRPr="001B2A3B">
              <w:rPr>
                <w:sz w:val="24"/>
                <w:szCs w:val="24"/>
              </w:rPr>
              <w:t>separate</w:t>
            </w:r>
            <w:r w:rsidRPr="001B2A3B">
              <w:rPr>
                <w:sz w:val="24"/>
                <w:szCs w:val="24"/>
              </w:rPr>
              <w:t xml:space="preserve"> codes to be moved flexibly without Care Coordinator/Case Aides changing the service agreements in Bridgeview.  </w:t>
            </w:r>
          </w:p>
          <w:p w14:paraId="53D22116" w14:textId="77777777" w:rsidR="001B2A3B" w:rsidRPr="001B2A3B" w:rsidRDefault="001B2A3B" w:rsidP="001B2A3B">
            <w:pPr>
              <w:rPr>
                <w:sz w:val="24"/>
                <w:szCs w:val="24"/>
              </w:rPr>
            </w:pPr>
          </w:p>
          <w:p w14:paraId="3F4C21B5" w14:textId="007BF569" w:rsidR="001B2A3B" w:rsidRPr="001B2A3B" w:rsidRDefault="001A6A23" w:rsidP="001B2A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Process</w:t>
            </w:r>
            <w:r w:rsidR="001B2A3B" w:rsidRPr="001B2A3B">
              <w:rPr>
                <w:b/>
                <w:bCs/>
                <w:sz w:val="24"/>
                <w:szCs w:val="24"/>
              </w:rPr>
              <w:t>:</w:t>
            </w:r>
          </w:p>
          <w:p w14:paraId="4C617D23" w14:textId="500098E0" w:rsidR="001B2A3B" w:rsidRDefault="001B2A3B" w:rsidP="001B2A3B">
            <w:pPr>
              <w:rPr>
                <w:sz w:val="24"/>
                <w:szCs w:val="24"/>
              </w:rPr>
            </w:pPr>
            <w:r w:rsidRPr="001B2A3B">
              <w:rPr>
                <w:sz w:val="24"/>
                <w:szCs w:val="24"/>
              </w:rPr>
              <w:t xml:space="preserve">If the provider </w:t>
            </w:r>
            <w:r>
              <w:rPr>
                <w:sz w:val="24"/>
                <w:szCs w:val="24"/>
              </w:rPr>
              <w:t>is requesting</w:t>
            </w:r>
            <w:r w:rsidRPr="001B2A3B">
              <w:rPr>
                <w:sz w:val="24"/>
                <w:szCs w:val="24"/>
              </w:rPr>
              <w:t xml:space="preserve"> an adjustment in the ratio of RN and LPN currently authorized, Care Coordinators/Case Aides must modify the current service agreements in Bridgeview to match the </w:t>
            </w:r>
            <w:r>
              <w:rPr>
                <w:sz w:val="24"/>
                <w:szCs w:val="24"/>
              </w:rPr>
              <w:t>p</w:t>
            </w:r>
            <w:r w:rsidRPr="001B2A3B">
              <w:rPr>
                <w:sz w:val="24"/>
                <w:szCs w:val="24"/>
              </w:rPr>
              <w:t>rovider</w:t>
            </w:r>
            <w:r>
              <w:rPr>
                <w:sz w:val="24"/>
                <w:szCs w:val="24"/>
              </w:rPr>
              <w:t>’</w:t>
            </w:r>
            <w:r w:rsidRPr="001B2A3B">
              <w:rPr>
                <w:sz w:val="24"/>
                <w:szCs w:val="24"/>
              </w:rPr>
              <w:t>s requested change. When making the changes to the original service agreements</w:t>
            </w:r>
            <w:r>
              <w:rPr>
                <w:sz w:val="24"/>
                <w:szCs w:val="24"/>
              </w:rPr>
              <w:t>,</w:t>
            </w:r>
            <w:r w:rsidRPr="001B2A3B">
              <w:rPr>
                <w:sz w:val="24"/>
                <w:szCs w:val="24"/>
              </w:rPr>
              <w:t xml:space="preserve"> the Care Coordinator/Case Aide must add a description to the Service Authorizations affected. These changes will then be entered into Helios by our Utilization Management team.</w:t>
            </w:r>
          </w:p>
          <w:p w14:paraId="568EA572" w14:textId="77777777" w:rsidR="001B2A3B" w:rsidRDefault="001B2A3B" w:rsidP="00A1542D">
            <w:pPr>
              <w:rPr>
                <w:sz w:val="24"/>
                <w:szCs w:val="24"/>
              </w:rPr>
            </w:pPr>
          </w:p>
          <w:p w14:paraId="40512E76" w14:textId="1EE6332B" w:rsidR="00A1542D" w:rsidRPr="001B2A3B" w:rsidRDefault="00A1542D" w:rsidP="00A1542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B2A3B">
              <w:rPr>
                <w:b/>
                <w:bCs/>
                <w:sz w:val="24"/>
                <w:szCs w:val="24"/>
              </w:rPr>
              <w:t>For example:</w:t>
            </w:r>
          </w:p>
          <w:p w14:paraId="0D831A44" w14:textId="326B2937" w:rsidR="00A1542D" w:rsidRPr="00A1542D" w:rsidRDefault="00A1542D" w:rsidP="00A1542D">
            <w:pPr>
              <w:rPr>
                <w:sz w:val="24"/>
                <w:szCs w:val="24"/>
              </w:rPr>
            </w:pPr>
            <w:r w:rsidRPr="00A1542D">
              <w:rPr>
                <w:b/>
                <w:bCs/>
                <w:color w:val="0070C0"/>
                <w:sz w:val="24"/>
                <w:szCs w:val="24"/>
              </w:rPr>
              <w:t>Current authorization span:</w:t>
            </w:r>
            <w:r w:rsidRPr="00A1542D">
              <w:rPr>
                <w:color w:val="0070C0"/>
                <w:sz w:val="24"/>
                <w:szCs w:val="24"/>
              </w:rPr>
              <w:t xml:space="preserve"> </w:t>
            </w:r>
            <w:r w:rsidRPr="00A1542D">
              <w:rPr>
                <w:sz w:val="24"/>
                <w:szCs w:val="24"/>
              </w:rPr>
              <w:t>1/1/2024 – 12/31/2024</w:t>
            </w:r>
          </w:p>
          <w:p w14:paraId="67809B5E" w14:textId="57036CEF" w:rsidR="00CA04A0" w:rsidRPr="00A1542D" w:rsidRDefault="00A1542D" w:rsidP="00CA04A0">
            <w:pPr>
              <w:rPr>
                <w:sz w:val="24"/>
                <w:szCs w:val="24"/>
              </w:rPr>
            </w:pPr>
            <w:r w:rsidRPr="00A1542D">
              <w:rPr>
                <w:b/>
                <w:bCs/>
                <w:color w:val="0070C0"/>
                <w:sz w:val="24"/>
                <w:szCs w:val="24"/>
              </w:rPr>
              <w:t>Two authorizations in Bridgeview and Helios include</w:t>
            </w:r>
            <w:r w:rsidRPr="00A1542D">
              <w:rPr>
                <w:sz w:val="24"/>
                <w:szCs w:val="24"/>
              </w:rPr>
              <w:t>:</w:t>
            </w:r>
          </w:p>
          <w:p w14:paraId="21425C05" w14:textId="22B3C869" w:rsidR="00A1542D" w:rsidRPr="00A1542D" w:rsidRDefault="00A1542D" w:rsidP="00A1542D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  <w:highlight w:val="yellow"/>
              </w:rPr>
              <w:t>32 units</w:t>
            </w:r>
            <w:r w:rsidRPr="00A1542D">
              <w:rPr>
                <w:sz w:val="24"/>
                <w:szCs w:val="24"/>
              </w:rPr>
              <w:t xml:space="preserve"> LPN T1031 1/1/2024 – 12/31/2024</w:t>
            </w:r>
          </w:p>
          <w:p w14:paraId="5F7DD807" w14:textId="47B36597" w:rsidR="00A1542D" w:rsidRPr="00A1542D" w:rsidRDefault="00A1542D" w:rsidP="00A1542D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  <w:highlight w:val="yellow"/>
              </w:rPr>
              <w:t>20 units</w:t>
            </w:r>
            <w:r w:rsidRPr="00A1542D">
              <w:rPr>
                <w:sz w:val="24"/>
                <w:szCs w:val="24"/>
              </w:rPr>
              <w:t xml:space="preserve"> RN T1030 1/1/2024 – 12/31/2024</w:t>
            </w:r>
          </w:p>
          <w:p w14:paraId="4BD541D6" w14:textId="77777777" w:rsidR="00CA04A0" w:rsidRPr="00A1542D" w:rsidRDefault="00CA04A0" w:rsidP="00CA04A0">
            <w:pPr>
              <w:rPr>
                <w:sz w:val="24"/>
                <w:szCs w:val="24"/>
              </w:rPr>
            </w:pPr>
          </w:p>
          <w:p w14:paraId="4F4B7CAB" w14:textId="1C2570E8" w:rsidR="00CA04A0" w:rsidRDefault="00A1542D" w:rsidP="00CA04A0">
            <w:pPr>
              <w:rPr>
                <w:sz w:val="24"/>
                <w:szCs w:val="24"/>
              </w:rPr>
            </w:pPr>
            <w:proofErr w:type="gramStart"/>
            <w:r w:rsidRPr="00A1542D">
              <w:rPr>
                <w:sz w:val="24"/>
                <w:szCs w:val="24"/>
              </w:rPr>
              <w:t>Provider</w:t>
            </w:r>
            <w:proofErr w:type="gramEnd"/>
            <w:r w:rsidRPr="00A1542D">
              <w:rPr>
                <w:sz w:val="24"/>
                <w:szCs w:val="24"/>
              </w:rPr>
              <w:t xml:space="preserve"> calls the Care Coordinator on 9/1/2024 to say they have used all RN visits and need </w:t>
            </w:r>
            <w:r w:rsidR="00E5316A">
              <w:rPr>
                <w:sz w:val="24"/>
                <w:szCs w:val="24"/>
              </w:rPr>
              <w:t>2</w:t>
            </w:r>
            <w:r w:rsidRPr="00A1542D">
              <w:rPr>
                <w:sz w:val="24"/>
                <w:szCs w:val="24"/>
              </w:rPr>
              <w:t xml:space="preserve"> more</w:t>
            </w:r>
            <w:r w:rsidR="00E5316A">
              <w:rPr>
                <w:sz w:val="24"/>
                <w:szCs w:val="24"/>
              </w:rPr>
              <w:t xml:space="preserve"> T1030 RN visits</w:t>
            </w:r>
            <w:r w:rsidRPr="00A1542D">
              <w:rPr>
                <w:sz w:val="24"/>
                <w:szCs w:val="24"/>
              </w:rPr>
              <w:t xml:space="preserve"> for the rest of the authorization span.</w:t>
            </w:r>
          </w:p>
          <w:p w14:paraId="19ECAD3E" w14:textId="77777777" w:rsidR="00601603" w:rsidRDefault="00601603" w:rsidP="00CA04A0">
            <w:pPr>
              <w:rPr>
                <w:sz w:val="24"/>
                <w:szCs w:val="24"/>
              </w:rPr>
            </w:pPr>
          </w:p>
          <w:p w14:paraId="771E7114" w14:textId="77777777" w:rsidR="001D4112" w:rsidRDefault="001D4112" w:rsidP="00CA04A0">
            <w:pPr>
              <w:rPr>
                <w:sz w:val="24"/>
                <w:szCs w:val="24"/>
              </w:rPr>
            </w:pPr>
          </w:p>
          <w:p w14:paraId="028EAE8F" w14:textId="0F1E3960" w:rsidR="001619A3" w:rsidRPr="001B2A3B" w:rsidRDefault="00A1542D" w:rsidP="00CA04A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1542D">
              <w:rPr>
                <w:b/>
                <w:bCs/>
                <w:color w:val="0070C0"/>
                <w:sz w:val="24"/>
                <w:szCs w:val="24"/>
              </w:rPr>
              <w:lastRenderedPageBreak/>
              <w:t>In Bridgeview, the CC would modify the original service authorizations to include:</w:t>
            </w:r>
          </w:p>
          <w:p w14:paraId="2E680640" w14:textId="77777777" w:rsidR="00CA04A0" w:rsidRDefault="00CA04A0" w:rsidP="00CA04A0"/>
          <w:p w14:paraId="67C47E45" w14:textId="25CFC574" w:rsidR="00CA04A0" w:rsidRDefault="00C71579" w:rsidP="001D41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D6C81C" wp14:editId="00C7B344">
                  <wp:extent cx="5695950" cy="1447800"/>
                  <wp:effectExtent l="0" t="0" r="0" b="0"/>
                  <wp:docPr id="20191541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15413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CFFAB" w14:textId="77777777" w:rsidR="00CA04A0" w:rsidRDefault="00CA04A0" w:rsidP="00CA04A0"/>
          <w:p w14:paraId="715944D2" w14:textId="77777777" w:rsidR="00CA04A0" w:rsidRPr="00E5316A" w:rsidRDefault="00CA04A0" w:rsidP="00CA04A0">
            <w:pPr>
              <w:rPr>
                <w:sz w:val="24"/>
                <w:szCs w:val="24"/>
              </w:rPr>
            </w:pPr>
          </w:p>
          <w:p w14:paraId="79D9047D" w14:textId="6BEAF844" w:rsidR="00E5316A" w:rsidRPr="00E5316A" w:rsidRDefault="00E5316A" w:rsidP="00E5316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after="160" w:line="259" w:lineRule="auto"/>
              <w:contextualSpacing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  <w:highlight w:val="yellow"/>
              </w:rPr>
              <w:t>30 units</w:t>
            </w:r>
            <w:r w:rsidRPr="00E5316A">
              <w:rPr>
                <w:sz w:val="24"/>
                <w:szCs w:val="24"/>
              </w:rPr>
              <w:t xml:space="preserve"> for LPN T1031</w:t>
            </w:r>
          </w:p>
          <w:p w14:paraId="27965BC9" w14:textId="77777777" w:rsidR="00E5316A" w:rsidRPr="00E5316A" w:rsidRDefault="00E5316A" w:rsidP="001B2A3B">
            <w:pPr>
              <w:pStyle w:val="ListParagraph"/>
              <w:numPr>
                <w:ilvl w:val="1"/>
                <w:numId w:val="19"/>
              </w:numPr>
              <w:spacing w:before="0" w:line="240" w:lineRule="auto"/>
              <w:rPr>
                <w:sz w:val="24"/>
                <w:szCs w:val="24"/>
              </w:rPr>
            </w:pPr>
            <w:bookmarkStart w:id="0" w:name="_Hlk162881924"/>
            <w:r w:rsidRPr="00E5316A">
              <w:rPr>
                <w:sz w:val="24"/>
                <w:szCs w:val="24"/>
              </w:rPr>
              <w:t xml:space="preserve">Add in Service Description:  </w:t>
            </w:r>
            <w:r w:rsidRPr="00E5316A">
              <w:rPr>
                <w:b/>
                <w:bCs/>
                <w:color w:val="0070C0"/>
                <w:sz w:val="24"/>
                <w:szCs w:val="24"/>
              </w:rPr>
              <w:t>Technical Change per provider on 9/1 request to move 2 visits to RN No DTR required.</w:t>
            </w:r>
          </w:p>
          <w:p w14:paraId="24A31363" w14:textId="7E0882FF" w:rsidR="00E5316A" w:rsidRPr="00E5316A" w:rsidRDefault="00E5316A" w:rsidP="001B2A3B">
            <w:pPr>
              <w:pStyle w:val="ListParagraph"/>
              <w:numPr>
                <w:ilvl w:val="1"/>
                <w:numId w:val="19"/>
              </w:numPr>
              <w:spacing w:before="0" w:line="240" w:lineRule="auto"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</w:rPr>
              <w:t>Provider Reason Code 10: THIS IS A NEW SERVICE AUTHORIZATION</w:t>
            </w:r>
          </w:p>
          <w:p w14:paraId="3AB0A17D" w14:textId="77777777" w:rsidR="00E5316A" w:rsidRPr="00E5316A" w:rsidRDefault="00E5316A" w:rsidP="00E5316A">
            <w:pPr>
              <w:pStyle w:val="ListParagraph"/>
              <w:rPr>
                <w:sz w:val="24"/>
                <w:szCs w:val="24"/>
              </w:rPr>
            </w:pPr>
          </w:p>
          <w:bookmarkEnd w:id="0"/>
          <w:p w14:paraId="055940FF" w14:textId="234C35F5" w:rsidR="00E5316A" w:rsidRPr="00E5316A" w:rsidRDefault="00E5316A" w:rsidP="00E5316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after="160" w:line="259" w:lineRule="auto"/>
              <w:contextualSpacing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  <w:highlight w:val="yellow"/>
              </w:rPr>
              <w:t>22 units</w:t>
            </w:r>
            <w:r w:rsidRPr="00E5316A">
              <w:rPr>
                <w:sz w:val="24"/>
                <w:szCs w:val="24"/>
              </w:rPr>
              <w:t xml:space="preserve"> for RN T1030</w:t>
            </w:r>
          </w:p>
          <w:p w14:paraId="50FBCB73" w14:textId="77777777" w:rsidR="00E5316A" w:rsidRDefault="00E5316A" w:rsidP="00E5316A">
            <w:pPr>
              <w:pStyle w:val="ListParagraph"/>
              <w:numPr>
                <w:ilvl w:val="1"/>
                <w:numId w:val="19"/>
              </w:numPr>
              <w:contextualSpacing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</w:rPr>
              <w:t xml:space="preserve">Add in Service Description: </w:t>
            </w:r>
            <w:r w:rsidRPr="00E5316A">
              <w:rPr>
                <w:b/>
                <w:bCs/>
                <w:color w:val="0070C0"/>
                <w:sz w:val="24"/>
                <w:szCs w:val="24"/>
              </w:rPr>
              <w:t>Technical Change 9/1/2024 moving 2 visits from LPN to RN</w:t>
            </w:r>
            <w:r w:rsidRPr="00E5316A">
              <w:rPr>
                <w:color w:val="0070C0"/>
                <w:sz w:val="24"/>
                <w:szCs w:val="24"/>
              </w:rPr>
              <w:t xml:space="preserve"> </w:t>
            </w:r>
          </w:p>
          <w:p w14:paraId="17BCBD20" w14:textId="5D34E32B" w:rsidR="00E5316A" w:rsidRPr="00E5316A" w:rsidRDefault="00E5316A" w:rsidP="00E5316A">
            <w:pPr>
              <w:pStyle w:val="ListParagraph"/>
              <w:numPr>
                <w:ilvl w:val="1"/>
                <w:numId w:val="19"/>
              </w:numPr>
              <w:contextualSpacing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</w:rPr>
              <w:t>Provider Reason Code 0150: THIS IS A REVISED SERVICE AGREEMENT THAT HAS INCREASED THE TOTAL UNITS AUTHORIZED.</w:t>
            </w:r>
          </w:p>
          <w:p w14:paraId="0638D44A" w14:textId="36062BA7" w:rsidR="00E5316A" w:rsidRPr="00E5316A" w:rsidRDefault="00E5316A" w:rsidP="00E5316A">
            <w:pPr>
              <w:pStyle w:val="ListParagraph"/>
              <w:rPr>
                <w:sz w:val="24"/>
                <w:szCs w:val="24"/>
              </w:rPr>
            </w:pPr>
            <w:r w:rsidRPr="00E5316A">
              <w:rPr>
                <w:sz w:val="24"/>
                <w:szCs w:val="24"/>
              </w:rPr>
              <w:t xml:space="preserve">The provider is now allowed to provide up to the number of units and total authorized amount shown on </w:t>
            </w:r>
            <w:r w:rsidR="00C71579" w:rsidRPr="00E5316A">
              <w:rPr>
                <w:sz w:val="24"/>
                <w:szCs w:val="24"/>
              </w:rPr>
              <w:t>th</w:t>
            </w:r>
            <w:r w:rsidR="00C71579">
              <w:rPr>
                <w:sz w:val="24"/>
                <w:szCs w:val="24"/>
              </w:rPr>
              <w:t>is authorization</w:t>
            </w:r>
            <w:r w:rsidRPr="00E5316A">
              <w:rPr>
                <w:sz w:val="24"/>
                <w:szCs w:val="24"/>
              </w:rPr>
              <w:t xml:space="preserve">. </w:t>
            </w:r>
          </w:p>
          <w:p w14:paraId="5B40072C" w14:textId="6D86DCC3" w:rsidR="00CA04A0" w:rsidRDefault="00CA04A0" w:rsidP="001D4112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8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3" w:name="_Hlk132280772"/>
                    <w:bookmarkEnd w:id="3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35A3FA2C" w:rsidR="00AF1D04" w:rsidRPr="00AF1D04" w:rsidRDefault="00E5316A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4-</w:t>
                          </w:r>
                          <w:r w:rsidR="0053220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</w:t>
                          </w:r>
                          <w:r w:rsidR="00C71579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9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35A3FA2C" w:rsidR="00AF1D04" w:rsidRPr="00AF1D04" w:rsidRDefault="00E5316A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4-</w:t>
                    </w:r>
                    <w:r w:rsidR="0053220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</w:t>
                    </w:r>
                    <w:r w:rsidR="00C71579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9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176"/>
    <w:multiLevelType w:val="hybridMultilevel"/>
    <w:tmpl w:val="C3287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5751D"/>
    <w:multiLevelType w:val="hybridMultilevel"/>
    <w:tmpl w:val="3D04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73C53"/>
    <w:multiLevelType w:val="hybridMultilevel"/>
    <w:tmpl w:val="F936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7"/>
  </w:num>
  <w:num w:numId="3" w16cid:durableId="214856249">
    <w:abstractNumId w:val="11"/>
  </w:num>
  <w:num w:numId="4" w16cid:durableId="1499616861">
    <w:abstractNumId w:val="15"/>
  </w:num>
  <w:num w:numId="5" w16cid:durableId="2073769093">
    <w:abstractNumId w:val="1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3"/>
  </w:num>
  <w:num w:numId="9" w16cid:durableId="2131320421">
    <w:abstractNumId w:val="12"/>
  </w:num>
  <w:num w:numId="10" w16cid:durableId="292836173">
    <w:abstractNumId w:val="8"/>
  </w:num>
  <w:num w:numId="11" w16cid:durableId="590047722">
    <w:abstractNumId w:val="4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4"/>
  </w:num>
  <w:num w:numId="15" w16cid:durableId="1282767395">
    <w:abstractNumId w:val="16"/>
  </w:num>
  <w:num w:numId="16" w16cid:durableId="974333673">
    <w:abstractNumId w:val="9"/>
  </w:num>
  <w:num w:numId="17" w16cid:durableId="2029747580">
    <w:abstractNumId w:val="10"/>
  </w:num>
  <w:num w:numId="18" w16cid:durableId="723872535">
    <w:abstractNumId w:val="2"/>
  </w:num>
  <w:num w:numId="19" w16cid:durableId="20793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50443"/>
    <w:rsid w:val="001619A3"/>
    <w:rsid w:val="001A6A23"/>
    <w:rsid w:val="001B2A3B"/>
    <w:rsid w:val="001D4112"/>
    <w:rsid w:val="00222CB4"/>
    <w:rsid w:val="00287C94"/>
    <w:rsid w:val="002E7252"/>
    <w:rsid w:val="003C1F8E"/>
    <w:rsid w:val="00461510"/>
    <w:rsid w:val="004D30F0"/>
    <w:rsid w:val="004D437B"/>
    <w:rsid w:val="0053220A"/>
    <w:rsid w:val="005413CA"/>
    <w:rsid w:val="005C7FFC"/>
    <w:rsid w:val="005E07CD"/>
    <w:rsid w:val="00601603"/>
    <w:rsid w:val="00605891"/>
    <w:rsid w:val="00661EAF"/>
    <w:rsid w:val="00667838"/>
    <w:rsid w:val="00690495"/>
    <w:rsid w:val="00696BE2"/>
    <w:rsid w:val="006B5D91"/>
    <w:rsid w:val="007808B0"/>
    <w:rsid w:val="007A5F11"/>
    <w:rsid w:val="0080562D"/>
    <w:rsid w:val="00887099"/>
    <w:rsid w:val="008877C2"/>
    <w:rsid w:val="00954AF8"/>
    <w:rsid w:val="00986E5D"/>
    <w:rsid w:val="00A1542D"/>
    <w:rsid w:val="00A16F35"/>
    <w:rsid w:val="00A24223"/>
    <w:rsid w:val="00AA1C20"/>
    <w:rsid w:val="00AB049B"/>
    <w:rsid w:val="00AD5757"/>
    <w:rsid w:val="00AF1D04"/>
    <w:rsid w:val="00BB1FFD"/>
    <w:rsid w:val="00BD6DF2"/>
    <w:rsid w:val="00C608E4"/>
    <w:rsid w:val="00C71579"/>
    <w:rsid w:val="00CA04A0"/>
    <w:rsid w:val="00CA1E33"/>
    <w:rsid w:val="00CA2A1A"/>
    <w:rsid w:val="00CF49F1"/>
    <w:rsid w:val="00D5294C"/>
    <w:rsid w:val="00E5316A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4</cp:revision>
  <cp:lastPrinted>2023-04-13T19:37:00Z</cp:lastPrinted>
  <dcterms:created xsi:type="dcterms:W3CDTF">2024-04-17T19:48:00Z</dcterms:created>
  <dcterms:modified xsi:type="dcterms:W3CDTF">2024-04-18T18:47:00Z</dcterms:modified>
</cp:coreProperties>
</file>