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460" w:type="dxa"/>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820"/>
      </w:tblGrid>
      <w:tr w:rsidR="00CA04A0" w14:paraId="42600EA8" w14:textId="77777777" w:rsidTr="004D793C">
        <w:trPr>
          <w:trHeight w:val="8880"/>
        </w:trPr>
        <w:tc>
          <w:tcPr>
            <w:tcW w:w="10056" w:type="dxa"/>
          </w:tcPr>
          <w:p w14:paraId="133F3DB8" w14:textId="6516D5E8" w:rsidR="00CA04A0" w:rsidRPr="00C608E4" w:rsidRDefault="00C608E4" w:rsidP="00195268">
            <w:pPr>
              <w:jc w:val="center"/>
              <w:rPr>
                <w:sz w:val="48"/>
                <w:szCs w:val="48"/>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1D0BDD95">
                      <wp:simplePos x="0" y="0"/>
                      <wp:positionH relativeFrom="column">
                        <wp:posOffset>369570</wp:posOffset>
                      </wp:positionH>
                      <wp:positionV relativeFrom="paragraph">
                        <wp:posOffset>57150</wp:posOffset>
                      </wp:positionV>
                      <wp:extent cx="6800850" cy="447675"/>
                      <wp:effectExtent l="0" t="0" r="0" b="9525"/>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47675"/>
                              </a:xfrm>
                              <a:prstGeom prst="rect">
                                <a:avLst/>
                              </a:prstGeom>
                              <a:solidFill>
                                <a:srgbClr val="FFFFFF"/>
                              </a:solidFill>
                              <a:ln w="9525">
                                <a:noFill/>
                                <a:miter lim="800000"/>
                                <a:headEnd/>
                                <a:tailEnd/>
                              </a:ln>
                            </wps:spPr>
                            <wps:txbx>
                              <w:txbxContent>
                                <w:p w14:paraId="1D4BA1CD" w14:textId="3B40665B" w:rsidR="00C608E4" w:rsidRPr="00C608E4" w:rsidRDefault="00C21924" w:rsidP="00C608E4">
                                  <w:pPr>
                                    <w:jc w:val="center"/>
                                    <w:rPr>
                                      <w:color w:val="002060"/>
                                      <w:sz w:val="48"/>
                                      <w:szCs w:val="48"/>
                                    </w:rPr>
                                  </w:pPr>
                                  <w:r>
                                    <w:rPr>
                                      <w:color w:val="002060"/>
                                      <w:sz w:val="48"/>
                                      <w:szCs w:val="48"/>
                                    </w:rPr>
                                    <w:t>Bridgeview – R-MnCHOICES Enhancements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29.1pt;margin-top:4.5pt;width:535.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tQDQ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" stroked="f">
                      <v:textbox>
                        <w:txbxContent>
                          <w:p w14:paraId="1D4BA1CD" w14:textId="3B40665B" w:rsidR="00C608E4" w:rsidRPr="00C608E4" w:rsidRDefault="00C21924" w:rsidP="00C608E4">
                            <w:pPr>
                              <w:jc w:val="center"/>
                              <w:rPr>
                                <w:color w:val="002060"/>
                                <w:sz w:val="48"/>
                                <w:szCs w:val="48"/>
                              </w:rPr>
                            </w:pPr>
                            <w:r>
                              <w:rPr>
                                <w:color w:val="002060"/>
                                <w:sz w:val="48"/>
                                <w:szCs w:val="48"/>
                              </w:rPr>
                              <w:t>Bridgeview – R-MnCHOICES Enhancements</w:t>
                            </w:r>
                          </w:p>
                        </w:txbxContent>
                      </v:textbox>
                      <w10:wrap type="square"/>
                    </v:shape>
                  </w:pict>
                </mc:Fallback>
              </mc:AlternateContent>
            </w:r>
          </w:p>
          <w:p w14:paraId="7C2F7D2E" w14:textId="77777777" w:rsidR="00CA04A0" w:rsidRDefault="00CA04A0" w:rsidP="00195268"/>
          <w:p w14:paraId="149A3BCD" w14:textId="77777777" w:rsidR="00CA04A0" w:rsidRDefault="00CA04A0" w:rsidP="00195268"/>
          <w:p w14:paraId="7BF4E5CF" w14:textId="2D94AA2D" w:rsidR="00CA04A0" w:rsidRDefault="0033034F" w:rsidP="00195268">
            <w:r>
              <w:t xml:space="preserve">We have added new drop down and required fields to Bridgeview. Please begin using these effective today following the guidance/screenshots below.  </w:t>
            </w:r>
            <w:r w:rsidR="00A61109">
              <w:t xml:space="preserve">Be sure to clear your web browser’s cache if you experience any issues opening Bridgeview following these updates. </w:t>
            </w:r>
          </w:p>
          <w:p w14:paraId="4E4383EB" w14:textId="4DEFB7D6" w:rsidR="00C21924" w:rsidRDefault="0033034F" w:rsidP="00195268">
            <w:r>
              <w:t>There</w:t>
            </w:r>
            <w:r w:rsidR="00C21924">
              <w:t xml:space="preserve"> will be a grace period of 30 days </w:t>
            </w:r>
            <w:r w:rsidR="00FE1AF2">
              <w:t>starting today</w:t>
            </w:r>
            <w:r w:rsidR="00C21924">
              <w:t xml:space="preserve"> before entries are marked as “Fail” for selecting the incorrect “HRA Form Used” and “Type of Assessment” completed</w:t>
            </w:r>
            <w:r w:rsidR="00FE1AF2">
              <w:t xml:space="preserve"> on any Bridgeview HRA audits</w:t>
            </w:r>
            <w:r w:rsidR="00C21924">
              <w:t xml:space="preserve">. The Bridgeview Care Coordination User Guide </w:t>
            </w:r>
            <w:r w:rsidR="00FE1AF2">
              <w:t>will also</w:t>
            </w:r>
            <w:r w:rsidR="00C21924">
              <w:t xml:space="preserve"> be updated with the next revision release. </w:t>
            </w:r>
          </w:p>
          <w:p w14:paraId="1233F07A" w14:textId="77777777" w:rsidR="00C21924" w:rsidRDefault="00C21924" w:rsidP="00195268"/>
          <w:p w14:paraId="6D9D426C" w14:textId="77777777" w:rsidR="00C21924" w:rsidRDefault="00C21924" w:rsidP="00195268"/>
          <w:p w14:paraId="73AC200B" w14:textId="7A39F536" w:rsidR="00FD333C" w:rsidRPr="00FD333C" w:rsidRDefault="00C21924" w:rsidP="00195268">
            <w:pPr>
              <w:rPr>
                <w:b/>
                <w:bCs/>
                <w:color w:val="0070C0"/>
                <w:sz w:val="28"/>
                <w:szCs w:val="28"/>
              </w:rPr>
            </w:pPr>
            <w:r w:rsidRPr="00FD333C">
              <w:rPr>
                <w:b/>
                <w:bCs/>
                <w:color w:val="0070C0"/>
                <w:sz w:val="28"/>
                <w:szCs w:val="28"/>
              </w:rPr>
              <w:t xml:space="preserve">UTR completed in R MnCHOICES </w:t>
            </w:r>
          </w:p>
          <w:p w14:paraId="2FD67707" w14:textId="77777777" w:rsidR="00C21924" w:rsidRDefault="00C21924" w:rsidP="00195268">
            <w:r>
              <w:t xml:space="preserve">1) HRA Form Used select “No Form” </w:t>
            </w:r>
          </w:p>
          <w:p w14:paraId="2B8235AF" w14:textId="20B1445B" w:rsidR="00C21924" w:rsidRDefault="00C21924" w:rsidP="00195268">
            <w:r>
              <w:t>2) Type of Assessment select “UTR in R MnCHOICES”</w:t>
            </w:r>
          </w:p>
          <w:p w14:paraId="7EE8D6E2" w14:textId="1C811094" w:rsidR="00CA04A0" w:rsidRDefault="00C21924" w:rsidP="00195268">
            <w:r>
              <w:t>*Must complete and attach Unable to Reach Member Support Plan to the members file in the Revised MnCHOICES application. Document a progress note in the Revised MnCHOICES with your required attempts, total of four attempts. The activity date must match the date of your UTR Member Support Plan letter.</w:t>
            </w:r>
          </w:p>
          <w:p w14:paraId="384CB1DB" w14:textId="77777777" w:rsidR="003F1FD6" w:rsidRDefault="003F1FD6" w:rsidP="00195268"/>
          <w:p w14:paraId="4588A7B1" w14:textId="101E1D3D" w:rsidR="00CA04A0" w:rsidRPr="003F1FD6" w:rsidRDefault="00195268" w:rsidP="00195268">
            <w:pPr>
              <w:jc w:val="center"/>
              <w:rPr>
                <w:b/>
                <w:bCs/>
              </w:rPr>
            </w:pPr>
            <w:r>
              <w:rPr>
                <w:noProof/>
              </w:rPr>
              <w:drawing>
                <wp:inline distT="0" distB="0" distL="0" distR="0" wp14:anchorId="6E547131" wp14:editId="50CBEF4E">
                  <wp:extent cx="3028950" cy="2364227"/>
                  <wp:effectExtent l="0" t="0" r="0" b="0"/>
                  <wp:docPr id="988251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51716" name=""/>
                          <pic:cNvPicPr/>
                        </pic:nvPicPr>
                        <pic:blipFill>
                          <a:blip r:embed="rId7"/>
                          <a:stretch>
                            <a:fillRect/>
                          </a:stretch>
                        </pic:blipFill>
                        <pic:spPr>
                          <a:xfrm>
                            <a:off x="0" y="0"/>
                            <a:ext cx="3032940" cy="2367341"/>
                          </a:xfrm>
                          <a:prstGeom prst="rect">
                            <a:avLst/>
                          </a:prstGeom>
                        </pic:spPr>
                      </pic:pic>
                    </a:graphicData>
                  </a:graphic>
                </wp:inline>
              </w:drawing>
            </w:r>
          </w:p>
          <w:p w14:paraId="4F4B7CAB" w14:textId="77777777" w:rsidR="00CA04A0" w:rsidRDefault="00CA04A0" w:rsidP="00195268"/>
          <w:p w14:paraId="1DFA825E" w14:textId="77777777" w:rsidR="00CA04A0" w:rsidRDefault="00CA04A0" w:rsidP="00195268"/>
          <w:p w14:paraId="5164D8D2" w14:textId="77777777" w:rsidR="00C21924" w:rsidRPr="00FD333C" w:rsidRDefault="00C21924" w:rsidP="00195268">
            <w:pPr>
              <w:rPr>
                <w:rStyle w:val="ui-provider"/>
                <w:b/>
                <w:bCs/>
                <w:color w:val="0070C0"/>
                <w:sz w:val="28"/>
                <w:szCs w:val="28"/>
              </w:rPr>
            </w:pPr>
            <w:r w:rsidRPr="00FD333C">
              <w:rPr>
                <w:rStyle w:val="ui-provider"/>
                <w:b/>
                <w:bCs/>
                <w:color w:val="0070C0"/>
                <w:sz w:val="28"/>
                <w:szCs w:val="28"/>
              </w:rPr>
              <w:t xml:space="preserve">Refusal completed in MnCHOICES </w:t>
            </w:r>
          </w:p>
          <w:p w14:paraId="24DEE075" w14:textId="77777777" w:rsidR="00C21924" w:rsidRDefault="00C21924" w:rsidP="00195268">
            <w:pPr>
              <w:rPr>
                <w:rStyle w:val="ui-provider"/>
              </w:rPr>
            </w:pPr>
            <w:r>
              <w:rPr>
                <w:rStyle w:val="ui-provider"/>
              </w:rPr>
              <w:t>1) HRA Form Used select “No Form”</w:t>
            </w:r>
          </w:p>
          <w:p w14:paraId="1555BF20" w14:textId="77777777" w:rsidR="00C21924" w:rsidRDefault="00C21924" w:rsidP="00195268">
            <w:pPr>
              <w:rPr>
                <w:rStyle w:val="ui-provider"/>
              </w:rPr>
            </w:pPr>
            <w:r>
              <w:rPr>
                <w:rStyle w:val="ui-provider"/>
              </w:rPr>
              <w:t>2) Type of Assessment select “Refusal in R MnCHOICES”</w:t>
            </w:r>
          </w:p>
          <w:p w14:paraId="1591E134" w14:textId="77777777" w:rsidR="00C21924" w:rsidRDefault="00C21924" w:rsidP="00195268">
            <w:pPr>
              <w:rPr>
                <w:rStyle w:val="ui-provider"/>
              </w:rPr>
            </w:pPr>
          </w:p>
          <w:p w14:paraId="187952AC" w14:textId="6974C6CC" w:rsidR="00C21924" w:rsidRDefault="00C21924" w:rsidP="00195268">
            <w:pPr>
              <w:rPr>
                <w:rStyle w:val="ui-provider"/>
              </w:rPr>
            </w:pPr>
            <w:r>
              <w:rPr>
                <w:rStyle w:val="ui-provider"/>
              </w:rPr>
              <w:t xml:space="preserve">*Must complete and attach Refusal Member Support Plan Letter to the members file in the Revised MnCHOICES application, clearly labeling the attachment so it is easy to </w:t>
            </w:r>
            <w:r w:rsidR="00FD333C">
              <w:rPr>
                <w:rStyle w:val="ui-provider"/>
              </w:rPr>
              <w:t>identify</w:t>
            </w:r>
            <w:r>
              <w:rPr>
                <w:rStyle w:val="ui-provider"/>
              </w:rPr>
              <w:t xml:space="preserve"> as associated with the date of the refusal &amp; assessment activity date. Document a progress note identifying who you spoke with</w:t>
            </w:r>
            <w:r w:rsidR="00FD333C">
              <w:rPr>
                <w:rStyle w:val="ui-provider"/>
              </w:rPr>
              <w:t xml:space="preserve"> -- </w:t>
            </w:r>
            <w:r>
              <w:rPr>
                <w:rStyle w:val="ui-provider"/>
              </w:rPr>
              <w:t xml:space="preserve">only the member or their authorized representative can decline a health risk assessment. This is the date you will document in Bridgeview as the “Assessment Date”. </w:t>
            </w:r>
          </w:p>
          <w:p w14:paraId="2E680640" w14:textId="77777777" w:rsidR="00CA04A0" w:rsidRDefault="00CA04A0" w:rsidP="00195268"/>
          <w:p w14:paraId="2CA6ECE4" w14:textId="62636EEB" w:rsidR="00C21924" w:rsidRDefault="00195268" w:rsidP="00195268">
            <w:pPr>
              <w:jc w:val="center"/>
            </w:pPr>
            <w:r>
              <w:rPr>
                <w:noProof/>
              </w:rPr>
              <w:drawing>
                <wp:inline distT="0" distB="0" distL="0" distR="0" wp14:anchorId="1BA30CFB" wp14:editId="57F81B0F">
                  <wp:extent cx="3200235" cy="2419350"/>
                  <wp:effectExtent l="0" t="0" r="635" b="0"/>
                  <wp:docPr id="724293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93292" name=""/>
                          <pic:cNvPicPr/>
                        </pic:nvPicPr>
                        <pic:blipFill>
                          <a:blip r:embed="rId8"/>
                          <a:stretch>
                            <a:fillRect/>
                          </a:stretch>
                        </pic:blipFill>
                        <pic:spPr>
                          <a:xfrm>
                            <a:off x="0" y="0"/>
                            <a:ext cx="3201942" cy="2420641"/>
                          </a:xfrm>
                          <a:prstGeom prst="rect">
                            <a:avLst/>
                          </a:prstGeom>
                        </pic:spPr>
                      </pic:pic>
                    </a:graphicData>
                  </a:graphic>
                </wp:inline>
              </w:drawing>
            </w:r>
          </w:p>
          <w:p w14:paraId="782CFFAB" w14:textId="77777777" w:rsidR="00CA04A0" w:rsidRDefault="00CA04A0" w:rsidP="00195268"/>
          <w:p w14:paraId="600BD57B" w14:textId="77777777" w:rsidR="003F1FD6" w:rsidRDefault="003F1FD6" w:rsidP="00195268"/>
          <w:p w14:paraId="2C123BD5" w14:textId="77777777" w:rsidR="003F1FD6" w:rsidRDefault="003F1FD6" w:rsidP="00195268"/>
          <w:p w14:paraId="29464A7C" w14:textId="6432EA4F" w:rsidR="00FD333C" w:rsidRPr="00FD333C" w:rsidRDefault="00C21924" w:rsidP="00195268">
            <w:pPr>
              <w:rPr>
                <w:b/>
                <w:bCs/>
                <w:color w:val="0070C0"/>
                <w:sz w:val="28"/>
                <w:szCs w:val="28"/>
              </w:rPr>
            </w:pPr>
            <w:r w:rsidRPr="00FD333C">
              <w:rPr>
                <w:b/>
                <w:bCs/>
                <w:color w:val="0070C0"/>
                <w:sz w:val="28"/>
                <w:szCs w:val="28"/>
              </w:rPr>
              <w:t xml:space="preserve">6.28 THRA completed in R MnCHOICES </w:t>
            </w:r>
          </w:p>
          <w:p w14:paraId="190BB18D" w14:textId="77777777" w:rsidR="00C21924" w:rsidRDefault="00C21924" w:rsidP="00195268">
            <w:r>
              <w:t>1) HRA Form Used select “6.28 Trans HRA in R MnCHOICES”</w:t>
            </w:r>
          </w:p>
          <w:p w14:paraId="70A71DA6" w14:textId="77777777" w:rsidR="00C21924" w:rsidRDefault="00C21924" w:rsidP="00195268">
            <w:r>
              <w:t>2) Select the most appropriate drop down based on the reason for the members THRA:</w:t>
            </w:r>
          </w:p>
          <w:p w14:paraId="562968AF" w14:textId="77777777" w:rsidR="00C21924" w:rsidRDefault="00C21924" w:rsidP="00195268">
            <w:pPr>
              <w:ind w:left="720"/>
            </w:pPr>
            <w:r>
              <w:t>•</w:t>
            </w:r>
            <w:r>
              <w:tab/>
              <w:t>Product Change (MSC+ to MSHO)</w:t>
            </w:r>
          </w:p>
          <w:p w14:paraId="0DA1D353" w14:textId="77777777" w:rsidR="00C21924" w:rsidRDefault="00C21924" w:rsidP="00195268">
            <w:pPr>
              <w:ind w:left="720"/>
            </w:pPr>
            <w:r>
              <w:t>•</w:t>
            </w:r>
            <w:r>
              <w:tab/>
              <w:t>Health Plan CHG (Non-BP to BP)</w:t>
            </w:r>
          </w:p>
          <w:p w14:paraId="1434D126" w14:textId="77777777" w:rsidR="00C21924" w:rsidRDefault="00C21924" w:rsidP="00195268">
            <w:pPr>
              <w:ind w:left="720"/>
            </w:pPr>
            <w:r>
              <w:t>•</w:t>
            </w:r>
            <w:r>
              <w:tab/>
              <w:t>Product Change (MSHO to MSC)</w:t>
            </w:r>
          </w:p>
          <w:p w14:paraId="494868E9" w14:textId="77777777" w:rsidR="00C21924" w:rsidRDefault="00C21924" w:rsidP="00195268"/>
          <w:p w14:paraId="5A6A79E0" w14:textId="77777777" w:rsidR="00FD333C" w:rsidRDefault="00C21924" w:rsidP="00195268">
            <w:r>
              <w:t xml:space="preserve">*Form 6.28 Transitional Health Risk Assessment must be completed and attached to the members file in the Revised MnCHOICES application. Clearly label the attachment so it is easy to </w:t>
            </w:r>
            <w:r w:rsidR="00FD333C">
              <w:t>identify</w:t>
            </w:r>
            <w:r>
              <w:t xml:space="preserve"> as associated with the date of the THRA &amp; assessment activity date. This is the date you will document in Bridgeview as the “Assessment Date”. </w:t>
            </w:r>
          </w:p>
          <w:p w14:paraId="330ED5CD" w14:textId="6ABEA195" w:rsidR="00CA04A0" w:rsidRDefault="00C21924" w:rsidP="00195268">
            <w:r>
              <w:t xml:space="preserve">THRA can only be completed if the Care Coordinator receives and reviews the </w:t>
            </w:r>
            <w:r w:rsidR="005D11A6">
              <w:t>in-person</w:t>
            </w:r>
            <w:r>
              <w:t xml:space="preserve"> assessment and care plan with the member or their authorized representative and the assessment must have been completed within the last 365 days and CC confirms the member has not had a significant change in condition. The date of the last </w:t>
            </w:r>
            <w:r w:rsidR="005D11A6">
              <w:t>in-person</w:t>
            </w:r>
            <w:r>
              <w:t xml:space="preserve"> assessment is the date that is used to determine the member’s reassessment, not the date of the THRA.</w:t>
            </w:r>
          </w:p>
          <w:p w14:paraId="5A3DB451" w14:textId="77777777" w:rsidR="00C21924" w:rsidRDefault="00C21924" w:rsidP="00195268"/>
          <w:p w14:paraId="5D96594C" w14:textId="1E25906B" w:rsidR="00C21924" w:rsidRDefault="00195268" w:rsidP="00195268">
            <w:pPr>
              <w:jc w:val="center"/>
            </w:pPr>
            <w:r>
              <w:rPr>
                <w:noProof/>
              </w:rPr>
              <w:drawing>
                <wp:inline distT="0" distB="0" distL="0" distR="0" wp14:anchorId="22221C62" wp14:editId="49F313A5">
                  <wp:extent cx="4343400" cy="2767693"/>
                  <wp:effectExtent l="0" t="0" r="0" b="0"/>
                  <wp:docPr id="324512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12333" name=""/>
                          <pic:cNvPicPr/>
                        </pic:nvPicPr>
                        <pic:blipFill>
                          <a:blip r:embed="rId9"/>
                          <a:stretch>
                            <a:fillRect/>
                          </a:stretch>
                        </pic:blipFill>
                        <pic:spPr>
                          <a:xfrm>
                            <a:off x="0" y="0"/>
                            <a:ext cx="4347834" cy="2770518"/>
                          </a:xfrm>
                          <a:prstGeom prst="rect">
                            <a:avLst/>
                          </a:prstGeom>
                        </pic:spPr>
                      </pic:pic>
                    </a:graphicData>
                  </a:graphic>
                </wp:inline>
              </w:drawing>
            </w:r>
          </w:p>
          <w:p w14:paraId="5B2CF209" w14:textId="77777777" w:rsidR="00CA04A0" w:rsidRDefault="00CA04A0" w:rsidP="00195268"/>
          <w:p w14:paraId="664E37EE" w14:textId="77777777" w:rsidR="00CA04A0" w:rsidRDefault="00CA04A0" w:rsidP="00195268"/>
          <w:p w14:paraId="122BFB16" w14:textId="424339DB" w:rsidR="00C21924" w:rsidRPr="00FD333C" w:rsidRDefault="00FD333C" w:rsidP="00195268">
            <w:pPr>
              <w:rPr>
                <w:b/>
                <w:bCs/>
              </w:rPr>
            </w:pPr>
            <w:r w:rsidRPr="00FD333C">
              <w:rPr>
                <w:b/>
                <w:bCs/>
                <w:color w:val="0070C0"/>
                <w:sz w:val="28"/>
                <w:szCs w:val="28"/>
              </w:rPr>
              <w:t>T</w:t>
            </w:r>
            <w:r w:rsidR="00FF26C8">
              <w:rPr>
                <w:b/>
                <w:bCs/>
                <w:color w:val="0070C0"/>
                <w:sz w:val="28"/>
                <w:szCs w:val="28"/>
              </w:rPr>
              <w:t xml:space="preserve">ransitional </w:t>
            </w:r>
            <w:r w:rsidRPr="00FD333C">
              <w:rPr>
                <w:b/>
                <w:bCs/>
                <w:color w:val="0070C0"/>
                <w:sz w:val="28"/>
                <w:szCs w:val="28"/>
              </w:rPr>
              <w:t>H</w:t>
            </w:r>
            <w:r w:rsidR="00FF26C8">
              <w:rPr>
                <w:b/>
                <w:bCs/>
                <w:color w:val="0070C0"/>
                <w:sz w:val="28"/>
                <w:szCs w:val="28"/>
              </w:rPr>
              <w:t>R</w:t>
            </w:r>
            <w:r w:rsidRPr="00FD333C">
              <w:rPr>
                <w:b/>
                <w:bCs/>
                <w:color w:val="0070C0"/>
                <w:sz w:val="28"/>
                <w:szCs w:val="28"/>
              </w:rPr>
              <w:t>A Reminder</w:t>
            </w:r>
          </w:p>
          <w:p w14:paraId="24DC6C50" w14:textId="7F009DD3" w:rsidR="00FD333C" w:rsidRDefault="00AC3472" w:rsidP="00195268">
            <w:r>
              <w:t xml:space="preserve">When using a </w:t>
            </w:r>
            <w:r w:rsidR="00FF26C8">
              <w:t>TRHA</w:t>
            </w:r>
            <w:r>
              <w:t xml:space="preserve"> for a new enrollee</w:t>
            </w:r>
            <w:r>
              <w:rPr>
                <w:rStyle w:val="ui-provider"/>
              </w:rPr>
              <w:t xml:space="preserve"> who has had an LTCC or MnCHOICES assessment completed prior to enrollment</w:t>
            </w:r>
            <w:r w:rsidR="00C21924" w:rsidRPr="00C21924">
              <w:t xml:space="preserve">, the Care Coordinator must also document </w:t>
            </w:r>
            <w:r>
              <w:t xml:space="preserve">this </w:t>
            </w:r>
            <w:r w:rsidR="00C21924" w:rsidRPr="00C21924">
              <w:t xml:space="preserve">assessment under “FEE FOR SERVICE/REVIEW FOR THRA”, select “Initial” for Type of Assessment. </w:t>
            </w:r>
            <w:r>
              <w:rPr>
                <w:rStyle w:val="ui-provider"/>
              </w:rPr>
              <w:t xml:space="preserve"> </w:t>
            </w:r>
            <w:r w:rsidR="00C21924" w:rsidRPr="00C21924">
              <w:t xml:space="preserve">This date is used to calculate when the next reassessment might be due. </w:t>
            </w:r>
          </w:p>
          <w:p w14:paraId="370BF9F2" w14:textId="77777777" w:rsidR="00BC1E7B" w:rsidRDefault="00BC1E7B" w:rsidP="00195268"/>
          <w:p w14:paraId="79EEBC05" w14:textId="77777777" w:rsidR="00195268" w:rsidRDefault="00195268" w:rsidP="00195268"/>
          <w:p w14:paraId="3A907026" w14:textId="77777777" w:rsidR="00195268" w:rsidRDefault="00195268" w:rsidP="00195268"/>
          <w:p w14:paraId="45451DD2" w14:textId="13A9A414" w:rsidR="00AC3472" w:rsidRDefault="00195268" w:rsidP="00195268">
            <w:pPr>
              <w:jc w:val="center"/>
            </w:pPr>
            <w:r>
              <w:rPr>
                <w:noProof/>
              </w:rPr>
              <w:lastRenderedPageBreak/>
              <w:drawing>
                <wp:inline distT="0" distB="0" distL="0" distR="0" wp14:anchorId="6E083CB3" wp14:editId="221CD400">
                  <wp:extent cx="3755548" cy="2266950"/>
                  <wp:effectExtent l="0" t="0" r="0" b="0"/>
                  <wp:docPr id="116656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6826" name=""/>
                          <pic:cNvPicPr/>
                        </pic:nvPicPr>
                        <pic:blipFill>
                          <a:blip r:embed="rId10"/>
                          <a:stretch>
                            <a:fillRect/>
                          </a:stretch>
                        </pic:blipFill>
                        <pic:spPr>
                          <a:xfrm>
                            <a:off x="0" y="0"/>
                            <a:ext cx="3760301" cy="2269819"/>
                          </a:xfrm>
                          <a:prstGeom prst="rect">
                            <a:avLst/>
                          </a:prstGeom>
                        </pic:spPr>
                      </pic:pic>
                    </a:graphicData>
                  </a:graphic>
                </wp:inline>
              </w:drawing>
            </w:r>
          </w:p>
          <w:p w14:paraId="6978D48E" w14:textId="77777777" w:rsidR="00BC1E7B" w:rsidRDefault="00BC1E7B" w:rsidP="00195268"/>
          <w:p w14:paraId="38AEAE0E" w14:textId="77777777" w:rsidR="00BC1E7B" w:rsidRDefault="00BC1E7B" w:rsidP="00195268"/>
          <w:p w14:paraId="16C578B0" w14:textId="0DD6C025" w:rsidR="00AC3472" w:rsidRDefault="00AC3472" w:rsidP="00195268">
            <w:r w:rsidRPr="00A6423A">
              <w:rPr>
                <w:b/>
                <w:bCs/>
                <w:color w:val="FF0000"/>
              </w:rPr>
              <w:t>Important!</w:t>
            </w:r>
            <w:r w:rsidRPr="00A6423A">
              <w:rPr>
                <w:color w:val="FF0000"/>
              </w:rPr>
              <w:t xml:space="preserve">  </w:t>
            </w:r>
            <w:r w:rsidR="00A6423A" w:rsidRPr="00A6423A">
              <w:t xml:space="preserve">To avoid any gaps in waiver coverage, </w:t>
            </w:r>
            <w:r>
              <w:t xml:space="preserve">Care Coordinators </w:t>
            </w:r>
            <w:r w:rsidRPr="00BC1E7B">
              <w:rPr>
                <w:b/>
                <w:bCs/>
              </w:rPr>
              <w:t xml:space="preserve">must confirm the </w:t>
            </w:r>
            <w:r w:rsidR="00A6423A" w:rsidRPr="00BC1E7B">
              <w:rPr>
                <w:b/>
                <w:bCs/>
              </w:rPr>
              <w:t>actual date of the</w:t>
            </w:r>
            <w:r w:rsidRPr="00BC1E7B">
              <w:rPr>
                <w:b/>
                <w:bCs/>
              </w:rPr>
              <w:t xml:space="preserve"> </w:t>
            </w:r>
            <w:r w:rsidR="00A6423A" w:rsidRPr="00BC1E7B">
              <w:rPr>
                <w:b/>
                <w:bCs/>
              </w:rPr>
              <w:t xml:space="preserve">in-person </w:t>
            </w:r>
            <w:r w:rsidRPr="00BC1E7B">
              <w:rPr>
                <w:b/>
                <w:bCs/>
              </w:rPr>
              <w:t>assessment</w:t>
            </w:r>
            <w:r w:rsidR="00A6423A">
              <w:t xml:space="preserve"> when determining your annual re-assessment.</w:t>
            </w:r>
          </w:p>
          <w:p w14:paraId="1082C4F9" w14:textId="7B4658B0" w:rsidR="00A6423A" w:rsidRDefault="00AC3472" w:rsidP="00195268">
            <w:r>
              <w:t xml:space="preserve">There may be scenarios where a member had an </w:t>
            </w:r>
            <w:r w:rsidR="00C21924" w:rsidRPr="00C21924">
              <w:t>eligibility update or EW open (activity 07 or 09/assessment result 01 or 11)</w:t>
            </w:r>
            <w:r w:rsidR="00A6423A">
              <w:t xml:space="preserve"> and</w:t>
            </w:r>
            <w:r w:rsidR="00C21924" w:rsidRPr="00C21924">
              <w:t xml:space="preserve"> the member may be due for their reassessment a lot sooner. </w:t>
            </w:r>
            <w:r w:rsidR="00A6423A">
              <w:t xml:space="preserve">An eligibility update may be noted on the Support Plan as the “Assessment Date” and should not be used for determining reassessment date. </w:t>
            </w:r>
          </w:p>
          <w:p w14:paraId="369F18AF" w14:textId="03CB3E4E" w:rsidR="00A6423A" w:rsidRDefault="00A6423A" w:rsidP="00195268"/>
          <w:p w14:paraId="4F0328B7" w14:textId="2D0C68CD" w:rsidR="00CA04A0" w:rsidRDefault="00C21924" w:rsidP="00195268">
            <w:r w:rsidRPr="00C21924">
              <w:t xml:space="preserve">The only way to verify the accuracy of this information is to confirm the date of the last </w:t>
            </w:r>
            <w:r w:rsidR="005D11A6" w:rsidRPr="005D11A6">
              <w:rPr>
                <w:b/>
                <w:bCs/>
              </w:rPr>
              <w:t>in</w:t>
            </w:r>
            <w:r w:rsidR="005D11A6">
              <w:rPr>
                <w:b/>
                <w:bCs/>
              </w:rPr>
              <w:t>-</w:t>
            </w:r>
            <w:r w:rsidR="005D11A6" w:rsidRPr="005D11A6">
              <w:rPr>
                <w:b/>
                <w:bCs/>
              </w:rPr>
              <w:t xml:space="preserve">person </w:t>
            </w:r>
            <w:r w:rsidRPr="005D11A6">
              <w:rPr>
                <w:b/>
                <w:bCs/>
              </w:rPr>
              <w:t>assessment</w:t>
            </w:r>
            <w:r w:rsidRPr="00C21924">
              <w:t xml:space="preserve">, </w:t>
            </w:r>
            <w:r w:rsidRPr="005D11A6">
              <w:rPr>
                <w:b/>
                <w:bCs/>
              </w:rPr>
              <w:t>activity type 02</w:t>
            </w:r>
            <w:r w:rsidRPr="00C21924">
              <w:t xml:space="preserve">, was completed. Eligibility updates (activity type 09 in MMIS) documented in </w:t>
            </w:r>
            <w:r w:rsidR="00A6423A">
              <w:t>MnCHOICES</w:t>
            </w:r>
            <w:r w:rsidRPr="00C21924">
              <w:t xml:space="preserve"> may have misleading dates on the CSP/CSSP/support plan.</w:t>
            </w:r>
          </w:p>
          <w:p w14:paraId="5465A3EA" w14:textId="77777777" w:rsidR="00C21924" w:rsidRDefault="00C21924" w:rsidP="00195268"/>
          <w:p w14:paraId="473DD5BD" w14:textId="77777777" w:rsidR="00CA04A0" w:rsidRDefault="00CA04A0" w:rsidP="00195268"/>
          <w:p w14:paraId="2A3D84A9" w14:textId="4B1D70E2" w:rsidR="00CA04A0" w:rsidRDefault="00CA04A0" w:rsidP="00195268">
            <w:pPr>
              <w:jc w:val="center"/>
            </w:pPr>
          </w:p>
          <w:p w14:paraId="1517086F" w14:textId="77777777" w:rsidR="00CA04A0" w:rsidRDefault="00CA04A0" w:rsidP="00195268"/>
          <w:p w14:paraId="2FAB5747" w14:textId="77777777" w:rsidR="00CA04A0" w:rsidRDefault="00CA04A0" w:rsidP="00195268"/>
          <w:p w14:paraId="3F45DE2F" w14:textId="77777777" w:rsidR="00CA04A0" w:rsidRDefault="00CA04A0" w:rsidP="00195268"/>
          <w:p w14:paraId="34A0CB65" w14:textId="77777777" w:rsidR="00195268" w:rsidRDefault="00195268" w:rsidP="00195268"/>
          <w:p w14:paraId="153A4B77" w14:textId="77777777" w:rsidR="00195268" w:rsidRDefault="00195268" w:rsidP="00195268"/>
          <w:p w14:paraId="28A9E45F" w14:textId="77777777" w:rsidR="00195268" w:rsidRDefault="00195268" w:rsidP="00195268"/>
          <w:p w14:paraId="6FF8CFD9" w14:textId="77777777" w:rsidR="00195268" w:rsidRDefault="00195268" w:rsidP="00195268"/>
          <w:p w14:paraId="473D049F" w14:textId="77777777" w:rsidR="00C21924" w:rsidRDefault="00C21924" w:rsidP="00195268"/>
          <w:p w14:paraId="63033FF5" w14:textId="1AF72B80" w:rsidR="00C21924" w:rsidRPr="00FD333C" w:rsidRDefault="00FD333C" w:rsidP="00195268">
            <w:pPr>
              <w:rPr>
                <w:b/>
                <w:bCs/>
                <w:color w:val="0070C0"/>
                <w:sz w:val="28"/>
                <w:szCs w:val="28"/>
              </w:rPr>
            </w:pPr>
            <w:r w:rsidRPr="00FD333C">
              <w:rPr>
                <w:b/>
                <w:bCs/>
                <w:color w:val="0070C0"/>
                <w:sz w:val="28"/>
                <w:szCs w:val="28"/>
              </w:rPr>
              <w:t>CDCS Am</w:t>
            </w:r>
            <w:r w:rsidR="004D793C">
              <w:rPr>
                <w:b/>
                <w:bCs/>
                <w:color w:val="0070C0"/>
                <w:sz w:val="28"/>
                <w:szCs w:val="28"/>
              </w:rPr>
              <w:t>oun</w:t>
            </w:r>
            <w:r w:rsidRPr="00FD333C">
              <w:rPr>
                <w:b/>
                <w:bCs/>
                <w:color w:val="0070C0"/>
                <w:sz w:val="28"/>
                <w:szCs w:val="28"/>
              </w:rPr>
              <w:t>t Limit</w:t>
            </w:r>
          </w:p>
          <w:p w14:paraId="6DBD3393" w14:textId="71434F66" w:rsidR="00C21924" w:rsidRDefault="00195268" w:rsidP="00195268">
            <w:r>
              <w:t>With the new legislative rate increases effective January 1</w:t>
            </w:r>
            <w:r w:rsidRPr="00195268">
              <w:rPr>
                <w:vertAlign w:val="superscript"/>
              </w:rPr>
              <w:t>st</w:t>
            </w:r>
            <w:r>
              <w:t>, 2024</w:t>
            </w:r>
            <w:r w:rsidR="004D793C">
              <w:t xml:space="preserve"> and CDCS budgets aligned with EW Case Mix budgets, we have updated the “CDCS Amount” field in the LTCC &amp; Case Mix History tab to “CDCS Limit”. </w:t>
            </w:r>
          </w:p>
          <w:p w14:paraId="332C3218" w14:textId="0D30EB3E" w:rsidR="004D793C" w:rsidRDefault="004D793C" w:rsidP="00195268">
            <w:r>
              <w:t>Note: if the information was added prior to the Jan 1</w:t>
            </w:r>
            <w:r w:rsidRPr="004D793C">
              <w:rPr>
                <w:vertAlign w:val="superscript"/>
              </w:rPr>
              <w:t>st</w:t>
            </w:r>
            <w:r>
              <w:t xml:space="preserve"> increases, this field may not show the updated amount until the next assessment. </w:t>
            </w:r>
          </w:p>
          <w:p w14:paraId="3418BD2F" w14:textId="77777777" w:rsidR="004D793C" w:rsidRDefault="004D793C" w:rsidP="00195268"/>
          <w:p w14:paraId="13CF74D4" w14:textId="04974D85" w:rsidR="004D793C" w:rsidRDefault="004D793C" w:rsidP="00195268">
            <w:r>
              <w:rPr>
                <w:noProof/>
              </w:rPr>
              <w:drawing>
                <wp:inline distT="0" distB="0" distL="0" distR="0" wp14:anchorId="57A83555" wp14:editId="4A7EFC06">
                  <wp:extent cx="7858125" cy="2809875"/>
                  <wp:effectExtent l="0" t="0" r="9525" b="9525"/>
                  <wp:docPr id="1357514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58125" cy="2809875"/>
                          </a:xfrm>
                          <a:prstGeom prst="rect">
                            <a:avLst/>
                          </a:prstGeom>
                          <a:noFill/>
                          <a:ln>
                            <a:noFill/>
                          </a:ln>
                        </pic:spPr>
                      </pic:pic>
                    </a:graphicData>
                  </a:graphic>
                </wp:inline>
              </w:drawing>
            </w:r>
          </w:p>
          <w:p w14:paraId="0BF3E679" w14:textId="77777777" w:rsidR="00C21924" w:rsidRDefault="00C21924" w:rsidP="00195268"/>
          <w:p w14:paraId="1952E76F" w14:textId="77777777" w:rsidR="00C21924" w:rsidRDefault="00C21924" w:rsidP="00195268"/>
          <w:p w14:paraId="6C0E4A3A" w14:textId="77777777" w:rsidR="004D793C" w:rsidRDefault="004D793C" w:rsidP="00195268"/>
          <w:p w14:paraId="42300C29" w14:textId="77777777" w:rsidR="004D793C" w:rsidRDefault="004D793C" w:rsidP="00195268"/>
          <w:p w14:paraId="41A60C87" w14:textId="77777777" w:rsidR="00C21924" w:rsidRDefault="00C21924" w:rsidP="00195268"/>
          <w:p w14:paraId="77A26609" w14:textId="082FE95A" w:rsidR="00C21924" w:rsidRDefault="00FD333C" w:rsidP="00195268">
            <w:pPr>
              <w:rPr>
                <w:b/>
                <w:bCs/>
                <w:color w:val="0070C0"/>
                <w:sz w:val="28"/>
                <w:szCs w:val="28"/>
              </w:rPr>
            </w:pPr>
            <w:r w:rsidRPr="00FD333C">
              <w:rPr>
                <w:b/>
                <w:bCs/>
                <w:color w:val="0070C0"/>
                <w:sz w:val="28"/>
                <w:szCs w:val="28"/>
              </w:rPr>
              <w:t>Assessment In-person</w:t>
            </w:r>
          </w:p>
          <w:p w14:paraId="30DDD73F" w14:textId="67B5A576" w:rsidR="00A61109" w:rsidRPr="00A61109" w:rsidRDefault="00A61109" w:rsidP="00195268">
            <w:pPr>
              <w:rPr>
                <w:b/>
                <w:bCs/>
                <w:color w:val="0070C0"/>
                <w:sz w:val="24"/>
                <w:szCs w:val="24"/>
              </w:rPr>
            </w:pPr>
            <w:r w:rsidRPr="00A61109">
              <w:rPr>
                <w:sz w:val="24"/>
                <w:szCs w:val="24"/>
              </w:rPr>
              <w:t>When entering your HRA, we have a new “Assessment In-person drop down”. This will allow us to identify in person assessments, especially with the ability to conduct in person waiver eligibility assessments every other year if the member chooses following our requirement to offer and document in person assessment</w:t>
            </w:r>
            <w:r>
              <w:rPr>
                <w:sz w:val="24"/>
                <w:szCs w:val="24"/>
              </w:rPr>
              <w:t>s</w:t>
            </w:r>
            <w:r w:rsidRPr="00A61109">
              <w:rPr>
                <w:sz w:val="24"/>
                <w:szCs w:val="24"/>
              </w:rPr>
              <w:t>.</w:t>
            </w:r>
          </w:p>
          <w:p w14:paraId="4D6621ED" w14:textId="77777777" w:rsidR="00A61109" w:rsidRPr="00A61109" w:rsidRDefault="00A61109" w:rsidP="00195268">
            <w:pPr>
              <w:rPr>
                <w:sz w:val="24"/>
                <w:szCs w:val="24"/>
              </w:rPr>
            </w:pPr>
          </w:p>
          <w:p w14:paraId="7C1F585D" w14:textId="77777777" w:rsidR="00C21924" w:rsidRDefault="00C21924" w:rsidP="00195268"/>
          <w:p w14:paraId="7ADE04B4" w14:textId="222B3D13" w:rsidR="00C21924" w:rsidRDefault="00847EAF" w:rsidP="00195268">
            <w:pPr>
              <w:jc w:val="center"/>
            </w:pPr>
            <w:r>
              <w:rPr>
                <w:noProof/>
              </w:rPr>
              <w:drawing>
                <wp:inline distT="0" distB="0" distL="0" distR="0" wp14:anchorId="6FD2CE8D" wp14:editId="3F45D8B4">
                  <wp:extent cx="4004120" cy="2257425"/>
                  <wp:effectExtent l="0" t="0" r="0" b="0"/>
                  <wp:docPr id="1468422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22077" name=""/>
                          <pic:cNvPicPr/>
                        </pic:nvPicPr>
                        <pic:blipFill>
                          <a:blip r:embed="rId12"/>
                          <a:stretch>
                            <a:fillRect/>
                          </a:stretch>
                        </pic:blipFill>
                        <pic:spPr>
                          <a:xfrm>
                            <a:off x="0" y="0"/>
                            <a:ext cx="4007765" cy="2259480"/>
                          </a:xfrm>
                          <a:prstGeom prst="rect">
                            <a:avLst/>
                          </a:prstGeom>
                        </pic:spPr>
                      </pic:pic>
                    </a:graphicData>
                  </a:graphic>
                </wp:inline>
              </w:drawing>
            </w:r>
          </w:p>
          <w:p w14:paraId="3856653A" w14:textId="77777777" w:rsidR="00A61109" w:rsidRDefault="00A61109" w:rsidP="00195268"/>
          <w:p w14:paraId="42C33C13" w14:textId="77777777" w:rsidR="00A61109" w:rsidRDefault="00A61109" w:rsidP="00195268"/>
          <w:p w14:paraId="22A23220" w14:textId="77777777" w:rsidR="00FD333C" w:rsidRDefault="00FD333C" w:rsidP="00195268">
            <w:pPr>
              <w:rPr>
                <w:b/>
                <w:bCs/>
                <w:color w:val="0070C0"/>
                <w:sz w:val="28"/>
                <w:szCs w:val="28"/>
              </w:rPr>
            </w:pPr>
            <w:r w:rsidRPr="00FD333C">
              <w:rPr>
                <w:b/>
                <w:bCs/>
                <w:color w:val="0070C0"/>
                <w:sz w:val="28"/>
                <w:szCs w:val="28"/>
              </w:rPr>
              <w:t>Comments</w:t>
            </w:r>
          </w:p>
          <w:p w14:paraId="483E33F8" w14:textId="1A6E3F7A" w:rsidR="00A61109" w:rsidRDefault="00A61109" w:rsidP="00195268">
            <w:pPr>
              <w:rPr>
                <w:sz w:val="24"/>
                <w:szCs w:val="24"/>
              </w:rPr>
            </w:pPr>
            <w:r w:rsidRPr="00A61109">
              <w:rPr>
                <w:sz w:val="24"/>
                <w:szCs w:val="24"/>
              </w:rPr>
              <w:t xml:space="preserve">We’ve added the ability to view any assessment “Comments” from the Member Detail page. </w:t>
            </w:r>
          </w:p>
          <w:p w14:paraId="01F3E1B2" w14:textId="77777777" w:rsidR="00A61109" w:rsidRPr="00A61109" w:rsidRDefault="00A61109" w:rsidP="00195268">
            <w:pPr>
              <w:rPr>
                <w:sz w:val="24"/>
                <w:szCs w:val="24"/>
              </w:rPr>
            </w:pPr>
          </w:p>
          <w:p w14:paraId="2359EE4F" w14:textId="77777777" w:rsidR="00A61109" w:rsidRDefault="00A61109" w:rsidP="004D793C">
            <w:pPr>
              <w:jc w:val="center"/>
              <w:rPr>
                <w:noProof/>
              </w:rPr>
            </w:pPr>
            <w:r>
              <w:rPr>
                <w:noProof/>
              </w:rPr>
              <w:drawing>
                <wp:inline distT="0" distB="0" distL="0" distR="0" wp14:anchorId="488686AB" wp14:editId="3926613E">
                  <wp:extent cx="7132973" cy="1076325"/>
                  <wp:effectExtent l="0" t="0" r="0" b="0"/>
                  <wp:docPr id="1069473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4541" cy="1076562"/>
                          </a:xfrm>
                          <a:prstGeom prst="rect">
                            <a:avLst/>
                          </a:prstGeom>
                          <a:noFill/>
                          <a:ln>
                            <a:noFill/>
                          </a:ln>
                        </pic:spPr>
                      </pic:pic>
                    </a:graphicData>
                  </a:graphic>
                </wp:inline>
              </w:drawing>
            </w:r>
          </w:p>
          <w:p w14:paraId="5491390E" w14:textId="77777777" w:rsidR="004D793C" w:rsidRDefault="004D793C" w:rsidP="004D793C">
            <w:pPr>
              <w:rPr>
                <w:noProof/>
              </w:rPr>
            </w:pPr>
          </w:p>
          <w:p w14:paraId="687C286A" w14:textId="77777777" w:rsidR="004D793C" w:rsidRDefault="004D793C" w:rsidP="004D793C">
            <w:pPr>
              <w:tabs>
                <w:tab w:val="left" w:pos="1455"/>
              </w:tabs>
            </w:pPr>
          </w:p>
          <w:p w14:paraId="5B40072C" w14:textId="627A9A17" w:rsidR="004D793C" w:rsidRPr="004D793C" w:rsidRDefault="004D793C" w:rsidP="004D793C">
            <w:pPr>
              <w:tabs>
                <w:tab w:val="left" w:pos="1650"/>
              </w:tabs>
            </w:pPr>
          </w:p>
        </w:tc>
      </w:tr>
    </w:tbl>
    <w:p w14:paraId="76A88B70" w14:textId="5D030BAA" w:rsidR="00CA04A0" w:rsidRDefault="00CA04A0" w:rsidP="004D793C"/>
    <w:sectPr w:rsidR="00CA04A0" w:rsidSect="00696BE2">
      <w:headerReference w:type="default" r:id="rId15"/>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1CE48AF" w:rsidR="00AF1D04" w:rsidRPr="00AF1D04" w:rsidRDefault="0033034F"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w:t>
                          </w:r>
                          <w:r w:rsidR="00C21924">
                            <w:rPr>
                              <w:rFonts w:ascii="Franklin Gothic Book" w:hAnsi="Franklin Gothic Book"/>
                              <w:b/>
                              <w:bCs/>
                              <w:color w:val="FFFFFF" w:themeColor="background1"/>
                              <w:sz w:val="44"/>
                              <w:szCs w:val="44"/>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1CE48AF" w:rsidR="00AF1D04" w:rsidRPr="00AF1D04" w:rsidRDefault="0033034F"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w:t>
                    </w:r>
                    <w:r w:rsidR="00C21924">
                      <w:rPr>
                        <w:rFonts w:ascii="Franklin Gothic Book" w:hAnsi="Franklin Gothic Book"/>
                        <w:b/>
                        <w:bCs/>
                        <w:color w:val="FFFFFF" w:themeColor="background1"/>
                        <w:sz w:val="44"/>
                        <w:szCs w:val="44"/>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0"/>
  </w:num>
  <w:num w:numId="2" w16cid:durableId="1797331095">
    <w:abstractNumId w:val="5"/>
  </w:num>
  <w:num w:numId="3" w16cid:durableId="214856249">
    <w:abstractNumId w:val="8"/>
  </w:num>
  <w:num w:numId="4" w16cid:durableId="1499616861">
    <w:abstractNumId w:val="12"/>
  </w:num>
  <w:num w:numId="5" w16cid:durableId="2073769093">
    <w:abstractNumId w:val="0"/>
  </w:num>
  <w:num w:numId="6" w16cid:durableId="18362904">
    <w:abstractNumId w:val="14"/>
  </w:num>
  <w:num w:numId="7" w16cid:durableId="495341996">
    <w:abstractNumId w:val="15"/>
  </w:num>
  <w:num w:numId="8" w16cid:durableId="195433800">
    <w:abstractNumId w:val="1"/>
  </w:num>
  <w:num w:numId="9" w16cid:durableId="2131320421">
    <w:abstractNumId w:val="9"/>
  </w:num>
  <w:num w:numId="10" w16cid:durableId="292836173">
    <w:abstractNumId w:val="6"/>
  </w:num>
  <w:num w:numId="11" w16cid:durableId="590047722">
    <w:abstractNumId w:val="2"/>
  </w:num>
  <w:num w:numId="12" w16cid:durableId="1674527007">
    <w:abstractNumId w:val="4"/>
  </w:num>
  <w:num w:numId="13" w16cid:durableId="1073697651">
    <w:abstractNumId w:val="3"/>
  </w:num>
  <w:num w:numId="14" w16cid:durableId="1167403472">
    <w:abstractNumId w:val="11"/>
  </w:num>
  <w:num w:numId="15" w16cid:durableId="1282767395">
    <w:abstractNumId w:val="13"/>
  </w:num>
  <w:num w:numId="16" w16cid:durableId="974333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95268"/>
    <w:rsid w:val="00222CB4"/>
    <w:rsid w:val="00287C94"/>
    <w:rsid w:val="002E7252"/>
    <w:rsid w:val="0033034F"/>
    <w:rsid w:val="003C1F8E"/>
    <w:rsid w:val="003F1FD6"/>
    <w:rsid w:val="004D30F0"/>
    <w:rsid w:val="004D793C"/>
    <w:rsid w:val="005413CA"/>
    <w:rsid w:val="005C7FFC"/>
    <w:rsid w:val="005D11A6"/>
    <w:rsid w:val="005E07CD"/>
    <w:rsid w:val="00605891"/>
    <w:rsid w:val="00661EAF"/>
    <w:rsid w:val="00667838"/>
    <w:rsid w:val="00690495"/>
    <w:rsid w:val="00696BE2"/>
    <w:rsid w:val="006B5D91"/>
    <w:rsid w:val="007808B0"/>
    <w:rsid w:val="0080562D"/>
    <w:rsid w:val="00847EAF"/>
    <w:rsid w:val="00887099"/>
    <w:rsid w:val="008877C2"/>
    <w:rsid w:val="00954AF8"/>
    <w:rsid w:val="00986E5D"/>
    <w:rsid w:val="00A16F35"/>
    <w:rsid w:val="00A24223"/>
    <w:rsid w:val="00A61109"/>
    <w:rsid w:val="00A6423A"/>
    <w:rsid w:val="00AB049B"/>
    <w:rsid w:val="00AC3472"/>
    <w:rsid w:val="00AD5757"/>
    <w:rsid w:val="00AF1D04"/>
    <w:rsid w:val="00B34708"/>
    <w:rsid w:val="00BB1FFD"/>
    <w:rsid w:val="00BC1E7B"/>
    <w:rsid w:val="00BD6DF2"/>
    <w:rsid w:val="00C21924"/>
    <w:rsid w:val="00C608E4"/>
    <w:rsid w:val="00CA04A0"/>
    <w:rsid w:val="00CA1E33"/>
    <w:rsid w:val="00CA2A1A"/>
    <w:rsid w:val="00CF49F1"/>
    <w:rsid w:val="00D5294C"/>
    <w:rsid w:val="00EC4AA6"/>
    <w:rsid w:val="00F36B5F"/>
    <w:rsid w:val="00F5483A"/>
    <w:rsid w:val="00F610EE"/>
    <w:rsid w:val="00FC5F7D"/>
    <w:rsid w:val="00FD333C"/>
    <w:rsid w:val="00FE1AF2"/>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ui-provider">
    <w:name w:val="ui-provider"/>
    <w:basedOn w:val="DefaultParagraphFont"/>
    <w:rsid w:val="00C21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4370">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796411506">
      <w:bodyDiv w:val="1"/>
      <w:marLeft w:val="0"/>
      <w:marRight w:val="0"/>
      <w:marTop w:val="0"/>
      <w:marBottom w:val="0"/>
      <w:divBdr>
        <w:top w:val="none" w:sz="0" w:space="0" w:color="auto"/>
        <w:left w:val="none" w:sz="0" w:space="0" w:color="auto"/>
        <w:bottom w:val="none" w:sz="0" w:space="0" w:color="auto"/>
        <w:right w:val="none" w:sz="0" w:space="0" w:color="auto"/>
      </w:divBdr>
    </w:div>
    <w:div w:id="1057821650">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image010.png@01DA68DF.F5171FA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685</Words>
  <Characters>3911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9</cp:revision>
  <cp:lastPrinted>2023-04-13T19:37:00Z</cp:lastPrinted>
  <dcterms:created xsi:type="dcterms:W3CDTF">2024-02-28T20:52:00Z</dcterms:created>
  <dcterms:modified xsi:type="dcterms:W3CDTF">2024-03-01T18:21:00Z</dcterms:modified>
</cp:coreProperties>
</file>