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616"/>
      </w:tblGrid>
      <w:tr w:rsidR="00CA04A0" w14:paraId="42600EA8" w14:textId="77777777" w:rsidTr="00F101F0">
        <w:trPr>
          <w:trHeight w:val="9330"/>
        </w:trPr>
        <w:tc>
          <w:tcPr>
            <w:tcW w:w="11616" w:type="dxa"/>
          </w:tcPr>
          <w:p w14:paraId="4C07954B" w14:textId="35D98BB6" w:rsidR="003D4130" w:rsidRPr="00F556DE" w:rsidRDefault="00C608E4" w:rsidP="00B6504B">
            <w:pPr>
              <w:jc w:val="center"/>
              <w:rPr>
                <w:rFonts w:ascii="Calibri" w:hAnsi="Calibri" w:cs="Calibri"/>
                <w:color w:val="0070C0"/>
                <w:sz w:val="32"/>
                <w:szCs w:val="32"/>
              </w:rPr>
            </w:pPr>
            <w:r w:rsidRPr="00FB6E5D">
              <w:rPr>
                <w:noProof/>
                <w:color w:val="0070C0"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2DDBDB8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58420</wp:posOffset>
                      </wp:positionV>
                      <wp:extent cx="7162800" cy="431165"/>
                      <wp:effectExtent l="0" t="0" r="0" b="6985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4822E73" w:rsidR="00C608E4" w:rsidRPr="00C608E4" w:rsidRDefault="00FB6E5D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MSHO Supplemental Benefits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95pt;margin-top:4.6pt;width:564pt;height:3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" stroked="f">
                      <v:textbox>
                        <w:txbxContent>
                          <w:p w14:paraId="1D4BA1CD" w14:textId="04822E73" w:rsidR="00C608E4" w:rsidRPr="00C608E4" w:rsidRDefault="00FB6E5D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MSHO Supplemental Benefits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7506400" w14:textId="3CC75181" w:rsidR="00E32C94" w:rsidRPr="00F101F0" w:rsidRDefault="00E32C94" w:rsidP="00B6504B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pPr>
            <w:r w:rsidRPr="00F101F0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>Eligibility for SecureBlue MSHO Supplemental Benefits</w:t>
            </w:r>
          </w:p>
          <w:p w14:paraId="0178C816" w14:textId="77777777" w:rsidR="00B6504B" w:rsidRPr="00F556DE" w:rsidRDefault="00B6504B" w:rsidP="00F101F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1EA705" w14:textId="202B2972" w:rsidR="00E32C94" w:rsidRPr="00F556DE" w:rsidRDefault="00E32C94" w:rsidP="00AF3522">
            <w:pPr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 xml:space="preserve">Members are only eligible for the SecureBlue MSHO supplemental benefits if they are active </w:t>
            </w:r>
            <w:r w:rsidR="00AF3522" w:rsidRPr="00F556DE">
              <w:rPr>
                <w:rFonts w:ascii="Calibri" w:hAnsi="Calibri" w:cs="Calibri"/>
                <w:sz w:val="24"/>
                <w:szCs w:val="24"/>
              </w:rPr>
              <w:t xml:space="preserve">SecureBlue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MSHO members. Refer to the Member Eligibility column on the </w:t>
            </w:r>
            <w:hyperlink r:id="rId7" w:history="1">
              <w:r w:rsidRPr="00F556DE">
                <w:rPr>
                  <w:rStyle w:val="Hyperlink"/>
                  <w:rFonts w:ascii="Calibri" w:hAnsi="Calibri" w:cs="Calibri"/>
                  <w:sz w:val="24"/>
                  <w:szCs w:val="24"/>
                </w:rPr>
                <w:t>2024 SecureBlue MSHO Supplemental Benefits (at a glance)</w:t>
              </w:r>
            </w:hyperlink>
            <w:r w:rsidRPr="00F556DE">
              <w:rPr>
                <w:rFonts w:ascii="Calibri" w:hAnsi="Calibri" w:cs="Calibri"/>
                <w:sz w:val="24"/>
                <w:szCs w:val="24"/>
              </w:rPr>
              <w:t xml:space="preserve"> docume</w:t>
            </w:r>
            <w:r w:rsidR="00B6504B">
              <w:rPr>
                <w:rFonts w:ascii="Calibri" w:hAnsi="Calibri" w:cs="Calibri"/>
                <w:sz w:val="24"/>
                <w:szCs w:val="24"/>
              </w:rPr>
              <w:t xml:space="preserve">nt, found on the </w:t>
            </w:r>
            <w:hyperlink r:id="rId8" w:history="1">
              <w:r w:rsidR="00B6504B" w:rsidRPr="00B6504B">
                <w:rPr>
                  <w:rStyle w:val="Hyperlink"/>
                  <w:rFonts w:ascii="Calibri" w:hAnsi="Calibri" w:cs="Calibri"/>
                  <w:sz w:val="24"/>
                  <w:szCs w:val="24"/>
                </w:rPr>
                <w:t>MSHO Supplemental Benefits</w:t>
              </w:r>
            </w:hyperlink>
            <w:r w:rsidR="00B6504B">
              <w:rPr>
                <w:rFonts w:ascii="Calibri" w:hAnsi="Calibri" w:cs="Calibri"/>
                <w:sz w:val="24"/>
                <w:szCs w:val="24"/>
              </w:rPr>
              <w:t xml:space="preserve"> webpage</w:t>
            </w:r>
            <w:r w:rsidRPr="00F556DE">
              <w:rPr>
                <w:rFonts w:ascii="Calibri" w:hAnsi="Calibri" w:cs="Calibri"/>
                <w:sz w:val="24"/>
                <w:szCs w:val="24"/>
              </w:rPr>
              <w:t>. If you are referring a member to a supplemental benefit, please ensure they have active MSHO coverage and meet the eligibility criteria for each benefit.</w:t>
            </w:r>
          </w:p>
          <w:p w14:paraId="17FD0457" w14:textId="77777777" w:rsidR="00AF3522" w:rsidRPr="00F556DE" w:rsidRDefault="00AF3522" w:rsidP="00E32C94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3D4E176E" w14:textId="32E1BFCC" w:rsidR="00E32C94" w:rsidRPr="00F556DE" w:rsidRDefault="00AF3522" w:rsidP="00F101F0">
            <w:pPr>
              <w:ind w:left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7907C94" wp14:editId="6A7DCF68">
                  <wp:extent cx="6749256" cy="882595"/>
                  <wp:effectExtent l="133350" t="76200" r="128270" b="70485"/>
                  <wp:docPr id="972644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64459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984" cy="889359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6331308" w14:textId="77777777" w:rsidR="00F101F0" w:rsidRDefault="00F101F0" w:rsidP="00B650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D9954DB" w14:textId="3B9AA184" w:rsidR="001E3A98" w:rsidRPr="00F101F0" w:rsidRDefault="001E3A98" w:rsidP="00B6504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pPr>
            <w:r w:rsidRPr="00F101F0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>Termed Members</w:t>
            </w:r>
          </w:p>
          <w:p w14:paraId="3DB56E20" w14:textId="77777777" w:rsidR="00B6504B" w:rsidRPr="00F556DE" w:rsidRDefault="00B6504B" w:rsidP="00F101F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BDE12C" w14:textId="1987D698" w:rsidR="00613A2F" w:rsidRPr="00F556DE" w:rsidRDefault="003D4130" w:rsidP="00A72C07">
            <w:pPr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 xml:space="preserve">If a member is receiving on-going services from a SecureBlue MSHO supplemental benefit provider (Alliance Music Therapy, </w:t>
            </w:r>
            <w:proofErr w:type="spellStart"/>
            <w:r w:rsidRPr="00F556DE">
              <w:rPr>
                <w:rFonts w:ascii="Calibri" w:hAnsi="Calibri" w:cs="Calibri"/>
                <w:sz w:val="24"/>
                <w:szCs w:val="24"/>
              </w:rPr>
              <w:t>Ceresti</w:t>
            </w:r>
            <w:proofErr w:type="spellEnd"/>
            <w:r w:rsidRPr="00F556DE">
              <w:rPr>
                <w:rFonts w:ascii="Calibri" w:hAnsi="Calibri" w:cs="Calibri"/>
                <w:sz w:val="24"/>
                <w:szCs w:val="24"/>
              </w:rPr>
              <w:t xml:space="preserve">, Dose, Juniper, LSS, </w:t>
            </w:r>
            <w:proofErr w:type="spellStart"/>
            <w:r w:rsidRPr="00F556DE">
              <w:rPr>
                <w:rFonts w:ascii="Calibri" w:hAnsi="Calibri" w:cs="Calibri"/>
                <w:sz w:val="24"/>
                <w:szCs w:val="24"/>
              </w:rPr>
              <w:t>NourishedRx</w:t>
            </w:r>
            <w:proofErr w:type="spellEnd"/>
            <w:r w:rsidRPr="00F556D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F556DE">
              <w:rPr>
                <w:rFonts w:ascii="Calibri" w:hAnsi="Calibri" w:cs="Calibri"/>
                <w:sz w:val="24"/>
                <w:szCs w:val="24"/>
              </w:rPr>
              <w:t>QMedic</w:t>
            </w:r>
            <w:proofErr w:type="spellEnd"/>
            <w:r w:rsidRPr="00F556DE">
              <w:rPr>
                <w:rFonts w:ascii="Calibri" w:hAnsi="Calibri" w:cs="Calibri"/>
                <w:sz w:val="24"/>
                <w:szCs w:val="24"/>
              </w:rPr>
              <w:t xml:space="preserve">) and the member loses MSHO eligibility (i.e. due to redetermination, chooses another health plan, etc), </w:t>
            </w:r>
            <w:r w:rsidRPr="00CD63EA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inform the provider that the member is no longer </w:t>
            </w:r>
            <w:proofErr w:type="gramStart"/>
            <w:r w:rsidRPr="00CD63EA">
              <w:rPr>
                <w:rFonts w:ascii="Calibri" w:hAnsi="Calibri" w:cs="Calibri"/>
                <w:color w:val="FF0000"/>
                <w:sz w:val="24"/>
                <w:szCs w:val="24"/>
              </w:rPr>
              <w:t>eligible</w:t>
            </w:r>
            <w:proofErr w:type="gramEnd"/>
            <w:r w:rsidRPr="00CD63EA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and services should be stopped</w:t>
            </w:r>
            <w:r w:rsidRPr="002D6B8E">
              <w:rPr>
                <w:rFonts w:ascii="Calibri" w:hAnsi="Calibri" w:cs="Calibri"/>
                <w:sz w:val="24"/>
                <w:szCs w:val="24"/>
              </w:rPr>
              <w:t>.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Supplemental benefit providers may not be aware that a member has </w:t>
            </w:r>
            <w:r w:rsidR="001E3A98" w:rsidRPr="00F556DE">
              <w:rPr>
                <w:rFonts w:ascii="Calibri" w:hAnsi="Calibri" w:cs="Calibri"/>
                <w:sz w:val="24"/>
                <w:szCs w:val="24"/>
              </w:rPr>
              <w:t xml:space="preserve">termed from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SecureBlue MSHO. </w:t>
            </w:r>
          </w:p>
          <w:p w14:paraId="649FAE91" w14:textId="606DD7B8" w:rsidR="00B6504B" w:rsidRPr="00F101F0" w:rsidRDefault="002D6B8E" w:rsidP="00F101F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pPr>
            <w:r w:rsidRPr="00F101F0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>Living Arrangement</w:t>
            </w:r>
            <w:r w:rsidR="001E3A98" w:rsidRPr="00F101F0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 xml:space="preserve"> Updates</w:t>
            </w:r>
          </w:p>
          <w:p w14:paraId="34BF3DBB" w14:textId="77777777" w:rsidR="00F101F0" w:rsidRPr="00F556DE" w:rsidRDefault="00F101F0" w:rsidP="00F101F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44FC605" w14:textId="0A2177CF" w:rsidR="00613A2F" w:rsidRPr="00F556DE" w:rsidRDefault="001E3A98" w:rsidP="00AF3522">
            <w:pPr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 xml:space="preserve">Because eligibility for many of the </w:t>
            </w:r>
            <w:r w:rsidR="00AF3522" w:rsidRPr="00F556DE">
              <w:rPr>
                <w:rFonts w:ascii="Calibri" w:hAnsi="Calibri" w:cs="Calibri"/>
                <w:sz w:val="24"/>
                <w:szCs w:val="24"/>
              </w:rPr>
              <w:t xml:space="preserve">SecureBlue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MSHO supplemental benefits are dependent on the member’s rate </w:t>
            </w:r>
            <w:r w:rsidR="00F101F0" w:rsidRPr="00F556DE">
              <w:rPr>
                <w:rFonts w:ascii="Calibri" w:hAnsi="Calibri" w:cs="Calibri"/>
                <w:sz w:val="24"/>
                <w:szCs w:val="24"/>
              </w:rPr>
              <w:t>cell if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the member has a change in living arrangement (i.e. moves permanently in </w:t>
            </w:r>
            <w:r w:rsidR="00AF3522" w:rsidRPr="00F556DE">
              <w:rPr>
                <w:rFonts w:ascii="Calibri" w:hAnsi="Calibri" w:cs="Calibri"/>
                <w:sz w:val="24"/>
                <w:szCs w:val="24"/>
              </w:rPr>
              <w:t xml:space="preserve">or out of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>a nursing facility)</w:t>
            </w:r>
            <w:r w:rsidR="00F101F0">
              <w:rPr>
                <w:rFonts w:ascii="Calibri" w:hAnsi="Calibri" w:cs="Calibri"/>
                <w:sz w:val="24"/>
                <w:szCs w:val="24"/>
              </w:rPr>
              <w:t>,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please </w:t>
            </w:r>
            <w:r w:rsidRPr="00F556DE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make sure to </w:t>
            </w:r>
            <w:r w:rsidR="00F101F0">
              <w:rPr>
                <w:rFonts w:ascii="Calibri" w:hAnsi="Calibri" w:cs="Calibri"/>
                <w:sz w:val="24"/>
                <w:szCs w:val="24"/>
              </w:rPr>
              <w:t>notify the financial worker via DHS 5181 as soon as possible.</w:t>
            </w:r>
            <w:r w:rsidR="00613A2F" w:rsidRPr="00F556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>This will help to</w:t>
            </w:r>
            <w:r w:rsidR="00613A2F" w:rsidRPr="00F556DE">
              <w:rPr>
                <w:rFonts w:ascii="Calibri" w:hAnsi="Calibri" w:cs="Calibri"/>
                <w:sz w:val="24"/>
                <w:szCs w:val="24"/>
              </w:rPr>
              <w:t xml:space="preserve"> ensure members are correctly identified for benefits that are limited to a specific living arrangement.</w:t>
            </w:r>
          </w:p>
          <w:p w14:paraId="373D4368" w14:textId="77777777" w:rsidR="00613A2F" w:rsidRPr="00F556DE" w:rsidRDefault="00613A2F" w:rsidP="003D413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32CA0E" w14:textId="28C399A5" w:rsidR="003D4130" w:rsidRPr="00F101F0" w:rsidRDefault="001E3A98" w:rsidP="00B6504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pPr>
            <w:r w:rsidRPr="00F101F0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>Resources</w:t>
            </w:r>
          </w:p>
          <w:p w14:paraId="72F095BD" w14:textId="77777777" w:rsidR="00B6504B" w:rsidRPr="00F556DE" w:rsidRDefault="00B6504B" w:rsidP="00F101F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29887FD" w14:textId="6F287F39" w:rsidR="00613A2F" w:rsidRPr="00CD63EA" w:rsidRDefault="00613A2F" w:rsidP="00AF3522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 xml:space="preserve">Please refer to the </w:t>
            </w:r>
            <w:r w:rsidRPr="002D6B8E">
              <w:rPr>
                <w:rFonts w:ascii="Calibri" w:hAnsi="Calibri" w:cs="Calibri"/>
                <w:sz w:val="24"/>
                <w:szCs w:val="24"/>
              </w:rPr>
              <w:t>SecureBlue MSHO 2024 Supplemental Benefits Catalog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found on our </w:t>
            </w:r>
            <w:hyperlink r:id="rId10" w:history="1">
              <w:r w:rsidRPr="00F556DE">
                <w:rPr>
                  <w:rStyle w:val="Hyperlink"/>
                  <w:rFonts w:ascii="Calibri" w:hAnsi="Calibri" w:cs="Calibri"/>
                  <w:sz w:val="24"/>
                  <w:szCs w:val="24"/>
                </w:rPr>
                <w:t>MSHO Supplemental Benefits webpage</w:t>
              </w:r>
            </w:hyperlink>
            <w:r w:rsidRPr="00F556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3A98" w:rsidRPr="00F556DE">
              <w:rPr>
                <w:rFonts w:ascii="Calibri" w:hAnsi="Calibri" w:cs="Calibri"/>
                <w:sz w:val="24"/>
                <w:szCs w:val="24"/>
              </w:rPr>
              <w:t xml:space="preserve">for all updated supplemental benefit information and resources. </w:t>
            </w:r>
            <w:r w:rsidR="001E3A98" w:rsidRPr="00CD63EA">
              <w:rPr>
                <w:rFonts w:ascii="Calibri" w:hAnsi="Calibri" w:cs="Calibri"/>
                <w:color w:val="FF0000"/>
                <w:sz w:val="24"/>
                <w:szCs w:val="24"/>
              </w:rPr>
              <w:t>Referral forms and other benefit information have been updated.</w:t>
            </w:r>
          </w:p>
          <w:p w14:paraId="391F3B93" w14:textId="77777777" w:rsidR="00613A2F" w:rsidRPr="00F556DE" w:rsidRDefault="00613A2F" w:rsidP="003D413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559793" w14:textId="1A8937D5" w:rsidR="001E3A98" w:rsidRPr="00F101F0" w:rsidRDefault="00AF1E16" w:rsidP="001E3A98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pPr>
            <w:r w:rsidRPr="00F101F0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>Care Coordinator Communications from NourishedRx</w:t>
            </w:r>
          </w:p>
          <w:p w14:paraId="72333B41" w14:textId="73B2A8B1" w:rsidR="00AF1E16" w:rsidRPr="00F556DE" w:rsidRDefault="00AF3522" w:rsidP="002D6B8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 xml:space="preserve">For members who have started services with NourishedRx, </w:t>
            </w:r>
            <w:r w:rsidR="00AF1E16" w:rsidRPr="00F556DE">
              <w:rPr>
                <w:rFonts w:ascii="Calibri" w:hAnsi="Calibri" w:cs="Calibri"/>
                <w:sz w:val="24"/>
                <w:szCs w:val="24"/>
              </w:rPr>
              <w:t>NourishedRx will notify care coordinators (via email) of any of the following:</w:t>
            </w:r>
          </w:p>
          <w:p w14:paraId="77E4E4AB" w14:textId="594931C3" w:rsidR="00AF1E16" w:rsidRPr="00F556DE" w:rsidRDefault="00AF1E16" w:rsidP="00AF3522">
            <w:pPr>
              <w:pStyle w:val="ListParagraph"/>
              <w:numPr>
                <w:ilvl w:val="0"/>
                <w:numId w:val="24"/>
              </w:numPr>
              <w:spacing w:before="120" w:line="240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>Enrollment of a member into the beneﬁt via NourishedRx outreach</w:t>
            </w:r>
          </w:p>
          <w:p w14:paraId="232560EB" w14:textId="5AE234C7" w:rsidR="00AF1E16" w:rsidRPr="00F556DE" w:rsidRDefault="00AF1E16" w:rsidP="00AF3522">
            <w:pPr>
              <w:pStyle w:val="ListParagraph"/>
              <w:numPr>
                <w:ilvl w:val="0"/>
                <w:numId w:val="24"/>
              </w:numPr>
              <w:spacing w:before="120" w:line="240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 xml:space="preserve">If the </w:t>
            </w:r>
            <w:r w:rsidR="00AF3522" w:rsidRPr="00F556DE">
              <w:rPr>
                <w:rFonts w:ascii="Calibri" w:hAnsi="Calibri" w:cs="Calibri"/>
                <w:sz w:val="24"/>
                <w:szCs w:val="24"/>
              </w:rPr>
              <w:t>m</w:t>
            </w:r>
            <w:r w:rsidRPr="00F556DE">
              <w:rPr>
                <w:rFonts w:ascii="Calibri" w:hAnsi="Calibri" w:cs="Calibri"/>
                <w:sz w:val="24"/>
                <w:szCs w:val="24"/>
              </w:rPr>
              <w:t>ember discontinues service before the 12-week beneﬁt has been completed</w:t>
            </w:r>
          </w:p>
          <w:p w14:paraId="6C03E751" w14:textId="447A4D4A" w:rsidR="00AF1E16" w:rsidRPr="00F556DE" w:rsidRDefault="00AF1E16" w:rsidP="00AF3522">
            <w:pPr>
              <w:pStyle w:val="ListParagraph"/>
              <w:numPr>
                <w:ilvl w:val="0"/>
                <w:numId w:val="24"/>
              </w:numPr>
              <w:spacing w:before="120" w:line="240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>Member non-compliance with participation in Nutrition Education calls</w:t>
            </w:r>
          </w:p>
          <w:p w14:paraId="36FD34DB" w14:textId="51A6F901" w:rsidR="00AF1E16" w:rsidRPr="00F556DE" w:rsidRDefault="00AF1E16" w:rsidP="00AF3522">
            <w:pPr>
              <w:pStyle w:val="ListParagraph"/>
              <w:numPr>
                <w:ilvl w:val="0"/>
                <w:numId w:val="24"/>
              </w:numPr>
              <w:spacing w:before="120" w:line="240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>A change in member phone number or mailing address from that was supplied by the care coordinator</w:t>
            </w:r>
          </w:p>
          <w:p w14:paraId="2D9C7D72" w14:textId="05858006" w:rsidR="00AF1E16" w:rsidRPr="00F556DE" w:rsidRDefault="00AF1E16" w:rsidP="00AF3522">
            <w:pPr>
              <w:pStyle w:val="ListParagraph"/>
              <w:numPr>
                <w:ilvl w:val="0"/>
                <w:numId w:val="24"/>
              </w:numPr>
              <w:spacing w:before="120" w:line="240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>Notable change in health status, medical or other needs identiﬁed during contact with the member</w:t>
            </w:r>
          </w:p>
          <w:p w14:paraId="447B3B1F" w14:textId="095663F9" w:rsidR="00AF1E16" w:rsidRPr="00F556DE" w:rsidRDefault="00AF1E16" w:rsidP="00AF1E16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>These care coordinator notifications (</w:t>
            </w:r>
            <w:r w:rsidR="00AF3522" w:rsidRPr="00F556DE">
              <w:rPr>
                <w:rFonts w:ascii="Calibri" w:hAnsi="Calibri" w:cs="Calibri"/>
                <w:sz w:val="24"/>
                <w:szCs w:val="24"/>
              </w:rPr>
              <w:t>a.k.a.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F3522" w:rsidRPr="00F556DE">
              <w:rPr>
                <w:rFonts w:ascii="Calibri" w:hAnsi="Calibri" w:cs="Calibri"/>
                <w:sz w:val="24"/>
                <w:szCs w:val="24"/>
              </w:rPr>
              <w:t>“</w:t>
            </w:r>
            <w:r w:rsidRPr="00F556DE">
              <w:rPr>
                <w:rFonts w:ascii="Calibri" w:hAnsi="Calibri" w:cs="Calibri"/>
                <w:sz w:val="24"/>
                <w:szCs w:val="24"/>
              </w:rPr>
              <w:t>Actionable Insights</w:t>
            </w:r>
            <w:r w:rsidR="00AF3522" w:rsidRPr="00F556DE">
              <w:rPr>
                <w:rFonts w:ascii="Calibri" w:hAnsi="Calibri" w:cs="Calibri"/>
                <w:sz w:val="24"/>
                <w:szCs w:val="24"/>
              </w:rPr>
              <w:t>”)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from NourishedRx are information to the care coordinator only. You may use these Actionable Insights to follow up with the member as needed. </w:t>
            </w:r>
          </w:p>
          <w:p w14:paraId="11E32641" w14:textId="77777777" w:rsidR="00207776" w:rsidRPr="00F556DE" w:rsidRDefault="00207776" w:rsidP="003D4130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  <w:p w14:paraId="4FC3F77F" w14:textId="32EFC577" w:rsidR="003D4130" w:rsidRPr="00F101F0" w:rsidRDefault="003D4130" w:rsidP="003D413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pPr>
            <w:r w:rsidRPr="00F101F0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>Household Supports</w:t>
            </w:r>
            <w:r w:rsidR="00AF3522" w:rsidRPr="00F101F0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 xml:space="preserve"> through CVS Flex Card</w:t>
            </w:r>
          </w:p>
          <w:p w14:paraId="453F9A87" w14:textId="27D533FC" w:rsidR="00AF3522" w:rsidRDefault="00AF3522" w:rsidP="002D6B8E">
            <w:pPr>
              <w:pStyle w:val="ListParagraph"/>
              <w:numPr>
                <w:ilvl w:val="0"/>
                <w:numId w:val="27"/>
              </w:numPr>
              <w:spacing w:before="120" w:line="240" w:lineRule="auto"/>
              <w:ind w:left="36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D63EA">
              <w:rPr>
                <w:rFonts w:ascii="Calibri" w:hAnsi="Calibri" w:cs="Calibri"/>
                <w:sz w:val="24"/>
                <w:szCs w:val="24"/>
              </w:rPr>
              <w:t xml:space="preserve">The January benefit rollover </w:t>
            </w:r>
            <w:r w:rsidR="00F101F0">
              <w:rPr>
                <w:rFonts w:ascii="Calibri" w:hAnsi="Calibri" w:cs="Calibri"/>
                <w:sz w:val="24"/>
                <w:szCs w:val="24"/>
              </w:rPr>
              <w:t>is now available as of 2/15.</w:t>
            </w:r>
            <w:r w:rsidRPr="00CD63EA">
              <w:rPr>
                <w:rFonts w:ascii="Calibri" w:hAnsi="Calibri" w:cs="Calibri"/>
                <w:sz w:val="24"/>
                <w:szCs w:val="24"/>
              </w:rPr>
              <w:t xml:space="preserve"> Members who did not receive a flex card in January or members who did not use their full amount in January will be able to use an additional $120 in February.</w:t>
            </w:r>
          </w:p>
          <w:p w14:paraId="1C875E80" w14:textId="77777777" w:rsidR="002D6B8E" w:rsidRPr="00CD63EA" w:rsidRDefault="002D6B8E" w:rsidP="002D6B8E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D63EA">
              <w:rPr>
                <w:rFonts w:ascii="Calibri" w:hAnsi="Calibri" w:cs="Calibri"/>
                <w:noProof/>
                <w:sz w:val="24"/>
                <w:szCs w:val="24"/>
              </w:rPr>
              <w:t>Debit cards for members who were newly identified at the beginning of Feb or end of January were mailed on Feb 12</w:t>
            </w:r>
            <w:r w:rsidRPr="00CD63EA">
              <w:rPr>
                <w:rFonts w:ascii="Calibri" w:hAnsi="Calibri" w:cs="Calibri"/>
                <w:noProof/>
                <w:sz w:val="24"/>
                <w:szCs w:val="24"/>
                <w:vertAlign w:val="superscript"/>
              </w:rPr>
              <w:t>th</w:t>
            </w:r>
            <w:r w:rsidRPr="00CD63EA">
              <w:rPr>
                <w:rFonts w:ascii="Calibri" w:hAnsi="Calibri" w:cs="Calibri"/>
                <w:noProof/>
                <w:sz w:val="24"/>
                <w:szCs w:val="24"/>
              </w:rPr>
              <w:t>.</w:t>
            </w:r>
          </w:p>
          <w:p w14:paraId="684B8D54" w14:textId="77777777" w:rsidR="002D6B8E" w:rsidRPr="00CD63EA" w:rsidRDefault="002D6B8E" w:rsidP="002D6B8E">
            <w:pPr>
              <w:pStyle w:val="ListParagraph"/>
              <w:spacing w:before="120" w:line="240" w:lineRule="auto"/>
              <w:ind w:left="36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7827F998" w14:textId="3CDDEDA7" w:rsidR="00C544BD" w:rsidRPr="00F101F0" w:rsidRDefault="00F101F0" w:rsidP="000F4EB0">
            <w:pPr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pPr>
            <w:r w:rsidRPr="00F101F0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>Frequently asked questions:</w:t>
            </w:r>
          </w:p>
          <w:p w14:paraId="01F0A9DA" w14:textId="77777777" w:rsidR="000F4EB0" w:rsidRPr="00F556DE" w:rsidRDefault="000F4EB0" w:rsidP="000F4EB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1247AF" w14:textId="1CB5636E" w:rsidR="003C54C6" w:rsidRDefault="000F4EB0" w:rsidP="003C54C6">
            <w:pPr>
              <w:rPr>
                <w:rFonts w:ascii="Calibri" w:hAnsi="Calibri" w:cs="Calibri"/>
                <w:sz w:val="24"/>
                <w:szCs w:val="24"/>
              </w:rPr>
            </w:pPr>
            <w:r w:rsidRPr="00CD63EA">
              <w:rPr>
                <w:rFonts w:ascii="Calibri" w:hAnsi="Calibri" w:cs="Calibri"/>
                <w:b/>
                <w:bCs/>
                <w:sz w:val="24"/>
                <w:szCs w:val="24"/>
              </w:rPr>
              <w:t>Q: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Most members who live in an assisted living or foster care </w:t>
            </w:r>
            <w:r w:rsidR="003C54C6" w:rsidRPr="00F556DE">
              <w:rPr>
                <w:rFonts w:ascii="Calibri" w:hAnsi="Calibri" w:cs="Calibri"/>
                <w:sz w:val="24"/>
                <w:szCs w:val="24"/>
              </w:rPr>
              <w:t>have their rent automatically taken from their bank accounts. Is there another way for them to access this benefit?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Why are they getting this benefit if they can’t use it?</w:t>
            </w:r>
          </w:p>
          <w:p w14:paraId="07BAE0E2" w14:textId="77777777" w:rsidR="00CD63EA" w:rsidRPr="00F556DE" w:rsidRDefault="00CD63EA" w:rsidP="003C54C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670AED" w14:textId="2B7F5898" w:rsidR="000F4EB0" w:rsidRPr="00F556DE" w:rsidRDefault="000F4EB0" w:rsidP="002D6B8E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CD63EA">
              <w:rPr>
                <w:rFonts w:ascii="Calibri" w:hAnsi="Calibri" w:cs="Calibri"/>
                <w:b/>
                <w:bCs/>
                <w:sz w:val="24"/>
                <w:szCs w:val="24"/>
              </w:rPr>
              <w:t>A: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We recognize that not all members will have an eligible expense or a way to use the card</w:t>
            </w:r>
            <w:r w:rsidR="00CD63EA">
              <w:rPr>
                <w:rFonts w:ascii="Calibri" w:hAnsi="Calibri" w:cs="Calibri"/>
                <w:sz w:val="24"/>
                <w:szCs w:val="24"/>
              </w:rPr>
              <w:t xml:space="preserve">, however, </w:t>
            </w:r>
            <w:r w:rsidR="002D6B8E">
              <w:rPr>
                <w:rFonts w:ascii="Calibri" w:hAnsi="Calibri" w:cs="Calibri"/>
                <w:sz w:val="24"/>
                <w:szCs w:val="24"/>
              </w:rPr>
              <w:t xml:space="preserve">we </w:t>
            </w:r>
            <w:r w:rsidR="002D6B8E" w:rsidRPr="00F556DE">
              <w:rPr>
                <w:rFonts w:ascii="Calibri" w:hAnsi="Calibri" w:cs="Calibri"/>
                <w:sz w:val="24"/>
                <w:szCs w:val="24"/>
              </w:rPr>
              <w:t>did not want to exclude members who live in foster care or assisted living from this benefit</w:t>
            </w:r>
            <w:r w:rsidR="002D6B8E">
              <w:rPr>
                <w:rFonts w:ascii="Calibri" w:hAnsi="Calibri" w:cs="Calibri"/>
                <w:sz w:val="24"/>
                <w:szCs w:val="24"/>
              </w:rPr>
              <w:t xml:space="preserve"> as some members will be able to use the flex card.</w:t>
            </w:r>
          </w:p>
          <w:p w14:paraId="471BB465" w14:textId="77777777" w:rsidR="000F4EB0" w:rsidRPr="00F556DE" w:rsidRDefault="000F4EB0" w:rsidP="002D6B8E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3CCDCAB6" w14:textId="1FC59C8A" w:rsidR="003C54C6" w:rsidRPr="00F556DE" w:rsidRDefault="000F4EB0" w:rsidP="002D6B8E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 xml:space="preserve">If a member’s rent/utilities are all bundled and their provider does not take a </w:t>
            </w:r>
            <w:r w:rsidR="002D560C">
              <w:rPr>
                <w:rFonts w:ascii="Calibri" w:hAnsi="Calibri" w:cs="Calibri"/>
                <w:sz w:val="24"/>
                <w:szCs w:val="24"/>
              </w:rPr>
              <w:t xml:space="preserve">Visa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card, members </w:t>
            </w:r>
            <w:r w:rsidR="003C54C6" w:rsidRPr="00F556DE">
              <w:rPr>
                <w:rFonts w:ascii="Calibri" w:hAnsi="Calibri" w:cs="Calibri"/>
                <w:sz w:val="24"/>
                <w:szCs w:val="24"/>
              </w:rPr>
              <w:t xml:space="preserve">could use it for other utilities like cable, streaming,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3C54C6" w:rsidRPr="00F556DE">
              <w:rPr>
                <w:rFonts w:ascii="Calibri" w:hAnsi="Calibri" w:cs="Calibri"/>
                <w:sz w:val="24"/>
                <w:szCs w:val="24"/>
              </w:rPr>
              <w:t xml:space="preserve">phone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or phone </w:t>
            </w:r>
            <w:r w:rsidR="003C54C6" w:rsidRPr="00F556DE">
              <w:rPr>
                <w:rFonts w:ascii="Calibri" w:hAnsi="Calibri" w:cs="Calibri"/>
                <w:sz w:val="24"/>
                <w:szCs w:val="24"/>
              </w:rPr>
              <w:t xml:space="preserve">services, that aren’t included in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3C54C6" w:rsidRPr="00F556DE">
              <w:rPr>
                <w:rFonts w:ascii="Calibri" w:hAnsi="Calibri" w:cs="Calibri"/>
                <w:sz w:val="24"/>
                <w:szCs w:val="24"/>
              </w:rPr>
              <w:t>housing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bundle</w:t>
            </w:r>
            <w:r w:rsidR="003C54C6" w:rsidRPr="00F556DE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>If this is not applicable, the member may discard the debit card.</w:t>
            </w:r>
          </w:p>
          <w:p w14:paraId="44CEFA03" w14:textId="77777777" w:rsidR="00405DA7" w:rsidRPr="00F556DE" w:rsidRDefault="00405DA7" w:rsidP="00CA04A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9675DB" w14:textId="0115EE2C" w:rsidR="003C54C6" w:rsidRPr="00F556DE" w:rsidRDefault="000F4EB0" w:rsidP="00CA04A0">
            <w:pPr>
              <w:rPr>
                <w:rFonts w:ascii="Calibri" w:hAnsi="Calibri" w:cs="Calibri"/>
                <w:sz w:val="24"/>
                <w:szCs w:val="24"/>
              </w:rPr>
            </w:pPr>
            <w:r w:rsidRPr="00CD63EA">
              <w:rPr>
                <w:rFonts w:ascii="Calibri" w:hAnsi="Calibri" w:cs="Calibri"/>
                <w:b/>
                <w:bCs/>
                <w:sz w:val="24"/>
                <w:szCs w:val="24"/>
              </w:rPr>
              <w:t>Q: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If the member is not able to use the </w:t>
            </w:r>
            <w:r w:rsidR="00935CA1">
              <w:rPr>
                <w:rFonts w:ascii="Calibri" w:hAnsi="Calibri" w:cs="Calibri"/>
                <w:noProof/>
                <w:sz w:val="24"/>
                <w:szCs w:val="24"/>
              </w:rPr>
              <w:t>f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lex </w:t>
            </w:r>
            <w:r w:rsidR="00935CA1">
              <w:rPr>
                <w:rFonts w:ascii="Calibri" w:hAnsi="Calibri" w:cs="Calibri"/>
                <w:noProof/>
                <w:sz w:val="24"/>
                <w:szCs w:val="24"/>
              </w:rPr>
              <w:t>c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>ard (provider doesn’t accept Visa</w:t>
            </w:r>
            <w:r w:rsidR="00CD63EA">
              <w:rPr>
                <w:rFonts w:ascii="Calibri" w:hAnsi="Calibri" w:cs="Calibri"/>
                <w:noProof/>
                <w:sz w:val="24"/>
                <w:szCs w:val="24"/>
              </w:rPr>
              <w:t xml:space="preserve"> or does not have an eligible expense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  <w:r w:rsidR="00F101F0">
              <w:rPr>
                <w:rFonts w:ascii="Calibri" w:hAnsi="Calibri" w:cs="Calibri"/>
                <w:noProof/>
                <w:sz w:val="24"/>
                <w:szCs w:val="24"/>
              </w:rPr>
              <w:t>,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 what should the member do with the card</w:t>
            </w:r>
            <w:r w:rsidR="00F101F0">
              <w:rPr>
                <w:rFonts w:ascii="Calibri" w:hAnsi="Calibri" w:cs="Calibri"/>
                <w:noProof/>
                <w:sz w:val="24"/>
                <w:szCs w:val="24"/>
              </w:rPr>
              <w:t>? J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>ust throw it away?</w:t>
            </w:r>
          </w:p>
          <w:p w14:paraId="28EEDDF4" w14:textId="77777777" w:rsidR="002D560C" w:rsidRDefault="002D560C" w:rsidP="002D560C">
            <w:pPr>
              <w:ind w:left="720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  <w:p w14:paraId="7B3A11A5" w14:textId="7B1327E8" w:rsidR="003C54C6" w:rsidRPr="00F556DE" w:rsidRDefault="000F4EB0" w:rsidP="002D6B8E">
            <w:pPr>
              <w:ind w:left="36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CD63E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A:</w:t>
            </w:r>
            <w:r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CD63EA">
              <w:rPr>
                <w:rFonts w:ascii="Calibri" w:hAnsi="Calibri" w:cs="Calibri"/>
                <w:noProof/>
                <w:sz w:val="24"/>
                <w:szCs w:val="24"/>
              </w:rPr>
              <w:t>The member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 can throw the card away if they aren’t going to use it. There is no way to return the card to CVS.</w:t>
            </w:r>
          </w:p>
          <w:p w14:paraId="3C8037E1" w14:textId="77777777" w:rsidR="003C54C6" w:rsidRPr="00F556DE" w:rsidRDefault="003C54C6" w:rsidP="00CA04A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7E6AF9AD" w14:textId="380F2C3D" w:rsidR="000F4EB0" w:rsidRPr="00F556DE" w:rsidRDefault="000F4EB0" w:rsidP="00CA04A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CD63E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Q:</w:t>
            </w:r>
            <w:r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 What </w:t>
            </w:r>
            <w:r w:rsidR="00100392" w:rsidRPr="00F556DE">
              <w:rPr>
                <w:rFonts w:ascii="Calibri" w:hAnsi="Calibri" w:cs="Calibri"/>
                <w:noProof/>
                <w:sz w:val="24"/>
                <w:szCs w:val="24"/>
              </w:rPr>
              <w:t>are the approved expenses and how do I learn more about merchant category codes?</w:t>
            </w:r>
          </w:p>
          <w:p w14:paraId="6F17667A" w14:textId="77777777" w:rsidR="002D6B8E" w:rsidRDefault="002D6B8E" w:rsidP="002D6B8E">
            <w:pPr>
              <w:ind w:left="720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  <w:p w14:paraId="76B03745" w14:textId="70BF1F0F" w:rsidR="000F4EB0" w:rsidRPr="00F556DE" w:rsidRDefault="00CD63EA" w:rsidP="002D6B8E">
            <w:pPr>
              <w:ind w:left="36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CD63E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A: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0F4EB0"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Approved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merchant codes </w:t>
            </w:r>
            <w:r w:rsidR="000F4EB0" w:rsidRPr="00F556DE">
              <w:rPr>
                <w:rFonts w:ascii="Calibri" w:hAnsi="Calibri" w:cs="Calibri"/>
                <w:noProof/>
                <w:sz w:val="24"/>
                <w:szCs w:val="24"/>
              </w:rPr>
              <w:t>include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0F4EB0" w:rsidRPr="00F556DE">
              <w:rPr>
                <w:rFonts w:ascii="Calibri" w:hAnsi="Calibri" w:cs="Calibri"/>
                <w:noProof/>
                <w:sz w:val="24"/>
                <w:szCs w:val="24"/>
              </w:rPr>
              <w:t>Electric, Gas, Water, and Sanitary (4900)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, </w:t>
            </w:r>
            <w:r w:rsidR="000F4EB0" w:rsidRPr="00F556DE">
              <w:rPr>
                <w:rFonts w:ascii="Calibri" w:hAnsi="Calibri" w:cs="Calibri"/>
                <w:noProof/>
                <w:sz w:val="24"/>
                <w:szCs w:val="24"/>
              </w:rPr>
              <w:t>Cable, Satellite and Other Pay Television/Radio/Streaming Services (4899)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, </w:t>
            </w:r>
            <w:r w:rsidR="000F4EB0" w:rsidRPr="00F556DE">
              <w:rPr>
                <w:rFonts w:ascii="Calibri" w:hAnsi="Calibri" w:cs="Calibri"/>
                <w:noProof/>
                <w:sz w:val="24"/>
                <w:szCs w:val="24"/>
              </w:rPr>
              <w:t>Telecommunication Services, including Local and Long-Distance Calls, Credit Card Calls, Calls Through Use of Magnetic Stripe-Reading Telephones, and Fax Services (4814)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, </w:t>
            </w:r>
            <w:r w:rsidR="000F4EB0" w:rsidRPr="00F556DE">
              <w:rPr>
                <w:rFonts w:ascii="Calibri" w:hAnsi="Calibri" w:cs="Calibri"/>
                <w:noProof/>
                <w:sz w:val="24"/>
                <w:szCs w:val="24"/>
              </w:rPr>
              <w:t>Telecommunication Equipment and Telephone Sales (4812)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and rent (6513).</w:t>
            </w:r>
          </w:p>
          <w:p w14:paraId="6C87F713" w14:textId="77777777" w:rsidR="002D6B8E" w:rsidRDefault="002D6B8E" w:rsidP="002D6B8E">
            <w:pPr>
              <w:ind w:left="360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1832CBEC" w14:textId="13D1A3DC" w:rsidR="003C54C6" w:rsidRPr="00F556DE" w:rsidRDefault="00100392" w:rsidP="002D6B8E">
            <w:pPr>
              <w:ind w:left="36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Refer to the 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Visa Merchant Code manual </w:t>
            </w:r>
            <w:r w:rsidRPr="00F556DE">
              <w:rPr>
                <w:rFonts w:ascii="Calibri" w:hAnsi="Calibri" w:cs="Calibri"/>
                <w:noProof/>
                <w:sz w:val="24"/>
                <w:szCs w:val="24"/>
              </w:rPr>
              <w:t>for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 detail</w:t>
            </w:r>
            <w:r w:rsidRPr="00F556DE">
              <w:rPr>
                <w:rFonts w:ascii="Calibri" w:hAnsi="Calibri" w:cs="Calibri"/>
                <w:noProof/>
                <w:sz w:val="24"/>
                <w:szCs w:val="24"/>
              </w:rPr>
              <w:t>s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 about the specific merchant codes.</w:t>
            </w:r>
            <w:r w:rsidR="002D6B8E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hyperlink r:id="rId11" w:history="1">
              <w:r w:rsidR="003C54C6" w:rsidRPr="00F556DE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>https://usa.visa.com/content/dam/VCOM/download/merchants/visa-merchant-data-standards-manual.pdf</w:t>
              </w:r>
            </w:hyperlink>
          </w:p>
          <w:p w14:paraId="136132D3" w14:textId="77777777" w:rsidR="003C54C6" w:rsidRPr="00F556DE" w:rsidRDefault="003C54C6" w:rsidP="00CA04A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591E26CB" w14:textId="6B705B31" w:rsidR="003C54C6" w:rsidRPr="00F556DE" w:rsidRDefault="00100392" w:rsidP="00CA04A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CD63EA">
              <w:rPr>
                <w:rFonts w:ascii="Calibri" w:hAnsi="Calibri" w:cs="Calibri"/>
                <w:b/>
                <w:bCs/>
                <w:sz w:val="24"/>
                <w:szCs w:val="24"/>
              </w:rPr>
              <w:t>Q: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C54C6" w:rsidRPr="00F556DE">
              <w:rPr>
                <w:rFonts w:ascii="Calibri" w:hAnsi="Calibri" w:cs="Calibri"/>
                <w:sz w:val="24"/>
                <w:szCs w:val="24"/>
              </w:rPr>
              <w:t xml:space="preserve">Will </w:t>
            </w:r>
            <w:r w:rsidRPr="00F556DE">
              <w:rPr>
                <w:rFonts w:ascii="Calibri" w:hAnsi="Calibri" w:cs="Calibri"/>
                <w:sz w:val="24"/>
                <w:szCs w:val="24"/>
              </w:rPr>
              <w:t>members get</w:t>
            </w:r>
            <w:r w:rsidR="003C54C6" w:rsidRPr="00F556DE">
              <w:rPr>
                <w:rFonts w:ascii="Calibri" w:hAnsi="Calibri" w:cs="Calibri"/>
                <w:sz w:val="24"/>
                <w:szCs w:val="24"/>
              </w:rPr>
              <w:t xml:space="preserve"> a new debit card each month if still eligible or does the original card get loaded with another $120?</w:t>
            </w:r>
          </w:p>
          <w:p w14:paraId="2AAEC6EF" w14:textId="77777777" w:rsidR="002D6B8E" w:rsidRDefault="002D6B8E" w:rsidP="002D6B8E">
            <w:pPr>
              <w:ind w:left="720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  <w:p w14:paraId="7B127051" w14:textId="371E9109" w:rsidR="003C54C6" w:rsidRPr="00F556DE" w:rsidRDefault="00100392" w:rsidP="002D6B8E">
            <w:pPr>
              <w:ind w:left="36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CD63E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A:</w:t>
            </w:r>
            <w:r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>They use the same card each month</w:t>
            </w:r>
            <w:r w:rsidR="00CD63EA">
              <w:rPr>
                <w:rFonts w:ascii="Calibri" w:hAnsi="Calibri" w:cs="Calibri"/>
                <w:noProof/>
                <w:sz w:val="24"/>
                <w:szCs w:val="24"/>
              </w:rPr>
              <w:t xml:space="preserve"> if they remain eligible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>. Cards are reloaded on the 1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  <w:vertAlign w:val="superscript"/>
              </w:rPr>
              <w:t>st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 of each month. The money is available on or after the 1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  <w:vertAlign w:val="superscript"/>
              </w:rPr>
              <w:t>st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>.</w:t>
            </w:r>
          </w:p>
          <w:p w14:paraId="2664AA73" w14:textId="77777777" w:rsidR="003C54C6" w:rsidRPr="00F556DE" w:rsidRDefault="003C54C6" w:rsidP="00CA04A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37658976" w14:textId="6B9183F9" w:rsidR="003C54C6" w:rsidRPr="00F556DE" w:rsidRDefault="00100392" w:rsidP="00CA04A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CD63EA">
              <w:rPr>
                <w:rFonts w:ascii="Calibri" w:hAnsi="Calibri" w:cs="Calibri"/>
                <w:b/>
                <w:bCs/>
                <w:sz w:val="24"/>
                <w:szCs w:val="24"/>
              </w:rPr>
              <w:t>Q:</w:t>
            </w:r>
            <w:r w:rsidRPr="00F556DE">
              <w:rPr>
                <w:rFonts w:ascii="Calibri" w:hAnsi="Calibri" w:cs="Calibri"/>
                <w:sz w:val="24"/>
                <w:szCs w:val="24"/>
              </w:rPr>
              <w:t xml:space="preserve"> W</w:t>
            </w:r>
            <w:r w:rsidR="003C54C6" w:rsidRPr="00F556DE">
              <w:rPr>
                <w:rFonts w:ascii="Calibri" w:hAnsi="Calibri" w:cs="Calibri"/>
                <w:sz w:val="24"/>
                <w:szCs w:val="24"/>
              </w:rPr>
              <w:t>ill Rep Payees/Resp Parties be notified of this benefit</w:t>
            </w:r>
            <w:r w:rsidRPr="00F556DE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79103398" w14:textId="77777777" w:rsidR="002D6B8E" w:rsidRDefault="002D6B8E" w:rsidP="002D6B8E">
            <w:pPr>
              <w:ind w:left="720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  <w:p w14:paraId="27FF796E" w14:textId="0E128F4D" w:rsidR="003C54C6" w:rsidRPr="00F556DE" w:rsidRDefault="00100392" w:rsidP="002D6B8E">
            <w:pPr>
              <w:ind w:left="36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CD63E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A:</w:t>
            </w:r>
            <w:r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We do not have a way to communicate the benefit to a representative payee or responsible party separate from the member. The card is mailed to the member’s physical </w:t>
            </w:r>
            <w:r w:rsidRPr="00F556DE">
              <w:rPr>
                <w:rFonts w:ascii="Calibri" w:hAnsi="Calibri" w:cs="Calibri"/>
                <w:noProof/>
                <w:sz w:val="24"/>
                <w:szCs w:val="24"/>
              </w:rPr>
              <w:t xml:space="preserve">(residential) </w:t>
            </w:r>
            <w:r w:rsidR="003C54C6" w:rsidRPr="00F556DE">
              <w:rPr>
                <w:rFonts w:ascii="Calibri" w:hAnsi="Calibri" w:cs="Calibri"/>
                <w:noProof/>
                <w:sz w:val="24"/>
                <w:szCs w:val="24"/>
              </w:rPr>
              <w:t>address.</w:t>
            </w:r>
          </w:p>
          <w:p w14:paraId="1731D09E" w14:textId="77777777" w:rsidR="003C54C6" w:rsidRPr="00F556DE" w:rsidRDefault="003C54C6" w:rsidP="00CA04A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51DC957D" w14:textId="0A81DEAA" w:rsidR="00F556DE" w:rsidRDefault="00F101F0" w:rsidP="00CA04A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101F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Q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:  Could a member attach their Visa debit card from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Incomm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to a cash app like Venmo or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Paypal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use the cash app to pay for their rent/utilities? </w:t>
            </w:r>
          </w:p>
          <w:p w14:paraId="1FF5881A" w14:textId="626043E4" w:rsidR="00F101F0" w:rsidRDefault="00F101F0" w:rsidP="00CA04A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   </w:t>
            </w:r>
          </w:p>
          <w:p w14:paraId="2A74C27B" w14:textId="1C238B8C" w:rsidR="00F101F0" w:rsidRPr="00F101F0" w:rsidRDefault="00F101F0" w:rsidP="00F101F0">
            <w:pPr>
              <w:spacing w:after="160"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   </w:t>
            </w:r>
            <w:r w:rsidRPr="00F101F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A: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101F0">
              <w:rPr>
                <w:color w:val="000000"/>
                <w:sz w:val="24"/>
                <w:szCs w:val="24"/>
              </w:rPr>
              <w:t xml:space="preserve">No, members will not be able to add the DNBC VISA card to cash apps like Venmo, </w:t>
            </w:r>
            <w:proofErr w:type="spellStart"/>
            <w:r w:rsidRPr="00F101F0">
              <w:rPr>
                <w:color w:val="000000"/>
                <w:sz w:val="24"/>
                <w:szCs w:val="24"/>
              </w:rPr>
              <w:t>Paypal</w:t>
            </w:r>
            <w:proofErr w:type="spellEnd"/>
            <w:r w:rsidRPr="00F101F0">
              <w:rPr>
                <w:color w:val="000000"/>
                <w:sz w:val="24"/>
                <w:szCs w:val="24"/>
              </w:rPr>
              <w:t>, etc.</w:t>
            </w: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  <w:p w14:paraId="6FE2924D" w14:textId="77777777" w:rsidR="00F556DE" w:rsidRPr="00F556DE" w:rsidRDefault="00F556DE" w:rsidP="00CA04A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B40072C" w14:textId="42280EC3" w:rsidR="00CA04A0" w:rsidRPr="00AB18BA" w:rsidRDefault="005C5614" w:rsidP="005C5614">
            <w:pPr>
              <w:rPr>
                <w:rFonts w:cstheme="minorHAnsi"/>
              </w:rPr>
            </w:pPr>
            <w:r w:rsidRPr="00F556DE">
              <w:rPr>
                <w:rFonts w:ascii="Calibri" w:hAnsi="Calibri" w:cs="Calibri"/>
                <w:sz w:val="24"/>
                <w:szCs w:val="24"/>
              </w:rPr>
              <w:t>Questions?  Please reach out to your Partner Relations Consultant</w:t>
            </w:r>
            <w:r w:rsidR="009948CE" w:rsidRPr="00F556D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2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62DB" w14:textId="77777777" w:rsidR="00186D02" w:rsidRDefault="00186D02" w:rsidP="00BB1FFD">
      <w:pPr>
        <w:spacing w:after="0" w:line="240" w:lineRule="auto"/>
      </w:pPr>
      <w:r>
        <w:separator/>
      </w:r>
    </w:p>
  </w:endnote>
  <w:endnote w:type="continuationSeparator" w:id="0">
    <w:p w14:paraId="4DC0340F" w14:textId="77777777" w:rsidR="00186D02" w:rsidRDefault="00186D02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7682" w14:textId="77777777" w:rsidR="00186D02" w:rsidRDefault="00186D02" w:rsidP="00BB1FFD">
      <w:pPr>
        <w:spacing w:after="0" w:line="240" w:lineRule="auto"/>
      </w:pPr>
      <w:r>
        <w:separator/>
      </w:r>
    </w:p>
  </w:footnote>
  <w:footnote w:type="continuationSeparator" w:id="0">
    <w:p w14:paraId="3FB45F28" w14:textId="77777777" w:rsidR="00186D02" w:rsidRDefault="00186D02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163B250" w14:textId="4C73C8D8" w:rsidR="00773A65" w:rsidRDefault="00773A65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4" w:name="_Hlk132280772"/>
                    <w:bookmarkEnd w:id="4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163B250" w14:textId="4C73C8D8" w:rsidR="00773A65" w:rsidRDefault="00773A65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AFAB62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0B4044C3" w:rsidR="00AF1D04" w:rsidRPr="00AF1D04" w:rsidRDefault="00207776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</w:t>
                          </w:r>
                          <w:r w:rsidR="00B6504B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-16</w:t>
                          </w:r>
                          <w:r w:rsidR="00FB6E5D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0B4044C3" w:rsidR="00AF1D04" w:rsidRPr="00AF1D04" w:rsidRDefault="00207776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</w:t>
                    </w:r>
                    <w:r w:rsidR="00B6504B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-16</w:t>
                    </w:r>
                    <w:r w:rsidR="00FB6E5D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4DE"/>
    <w:multiLevelType w:val="hybridMultilevel"/>
    <w:tmpl w:val="A4FC0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A4B53"/>
    <w:multiLevelType w:val="hybridMultilevel"/>
    <w:tmpl w:val="C8C8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D6A"/>
    <w:multiLevelType w:val="hybridMultilevel"/>
    <w:tmpl w:val="D7AC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1938"/>
    <w:multiLevelType w:val="hybridMultilevel"/>
    <w:tmpl w:val="779AF180"/>
    <w:lvl w:ilvl="0" w:tplc="4FEC8526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2465"/>
    <w:multiLevelType w:val="hybridMultilevel"/>
    <w:tmpl w:val="D94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2A6B"/>
    <w:multiLevelType w:val="hybridMultilevel"/>
    <w:tmpl w:val="E6225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012AA"/>
    <w:multiLevelType w:val="hybridMultilevel"/>
    <w:tmpl w:val="4A16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E554D"/>
    <w:multiLevelType w:val="hybridMultilevel"/>
    <w:tmpl w:val="578292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A10B0"/>
    <w:multiLevelType w:val="hybridMultilevel"/>
    <w:tmpl w:val="D0CE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1486A"/>
    <w:multiLevelType w:val="hybridMultilevel"/>
    <w:tmpl w:val="BC5833F4"/>
    <w:lvl w:ilvl="0" w:tplc="4FEC8526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77043"/>
    <w:multiLevelType w:val="hybridMultilevel"/>
    <w:tmpl w:val="15A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9"/>
  </w:num>
  <w:num w:numId="2" w16cid:durableId="1797331095">
    <w:abstractNumId w:val="13"/>
  </w:num>
  <w:num w:numId="3" w16cid:durableId="214856249">
    <w:abstractNumId w:val="17"/>
  </w:num>
  <w:num w:numId="4" w16cid:durableId="1499616861">
    <w:abstractNumId w:val="22"/>
  </w:num>
  <w:num w:numId="5" w16cid:durableId="2073769093">
    <w:abstractNumId w:val="1"/>
  </w:num>
  <w:num w:numId="6" w16cid:durableId="18362904">
    <w:abstractNumId w:val="25"/>
  </w:num>
  <w:num w:numId="7" w16cid:durableId="495341996">
    <w:abstractNumId w:val="26"/>
  </w:num>
  <w:num w:numId="8" w16cid:durableId="195433800">
    <w:abstractNumId w:val="8"/>
  </w:num>
  <w:num w:numId="9" w16cid:durableId="2131320421">
    <w:abstractNumId w:val="18"/>
  </w:num>
  <w:num w:numId="10" w16cid:durableId="292836173">
    <w:abstractNumId w:val="14"/>
  </w:num>
  <w:num w:numId="11" w16cid:durableId="590047722">
    <w:abstractNumId w:val="10"/>
  </w:num>
  <w:num w:numId="12" w16cid:durableId="1674527007">
    <w:abstractNumId w:val="12"/>
  </w:num>
  <w:num w:numId="13" w16cid:durableId="1073697651">
    <w:abstractNumId w:val="11"/>
  </w:num>
  <w:num w:numId="14" w16cid:durableId="1167403472">
    <w:abstractNumId w:val="21"/>
  </w:num>
  <w:num w:numId="15" w16cid:durableId="1282767395">
    <w:abstractNumId w:val="23"/>
  </w:num>
  <w:num w:numId="16" w16cid:durableId="974333673">
    <w:abstractNumId w:val="15"/>
  </w:num>
  <w:num w:numId="17" w16cid:durableId="2081519228">
    <w:abstractNumId w:val="16"/>
  </w:num>
  <w:num w:numId="18" w16cid:durableId="761604892">
    <w:abstractNumId w:val="2"/>
  </w:num>
  <w:num w:numId="19" w16cid:durableId="141165515">
    <w:abstractNumId w:val="7"/>
  </w:num>
  <w:num w:numId="20" w16cid:durableId="1413551132">
    <w:abstractNumId w:val="4"/>
  </w:num>
  <w:num w:numId="21" w16cid:durableId="328488460">
    <w:abstractNumId w:val="20"/>
  </w:num>
  <w:num w:numId="22" w16cid:durableId="119810303">
    <w:abstractNumId w:val="6"/>
  </w:num>
  <w:num w:numId="23" w16cid:durableId="407580969">
    <w:abstractNumId w:val="9"/>
  </w:num>
  <w:num w:numId="24" w16cid:durableId="1156916931">
    <w:abstractNumId w:val="0"/>
  </w:num>
  <w:num w:numId="25" w16cid:durableId="1787969696">
    <w:abstractNumId w:val="5"/>
  </w:num>
  <w:num w:numId="26" w16cid:durableId="1038045529">
    <w:abstractNumId w:val="24"/>
  </w:num>
  <w:num w:numId="27" w16cid:durableId="1201823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72CC8"/>
    <w:rsid w:val="000F4EB0"/>
    <w:rsid w:val="00100392"/>
    <w:rsid w:val="00113DED"/>
    <w:rsid w:val="00156C1C"/>
    <w:rsid w:val="00186D02"/>
    <w:rsid w:val="001D0B81"/>
    <w:rsid w:val="001E06AD"/>
    <w:rsid w:val="001E3A98"/>
    <w:rsid w:val="001F7C55"/>
    <w:rsid w:val="002037B9"/>
    <w:rsid w:val="00207776"/>
    <w:rsid w:val="00222CB4"/>
    <w:rsid w:val="00242F93"/>
    <w:rsid w:val="002445D6"/>
    <w:rsid w:val="00287C94"/>
    <w:rsid w:val="002D560C"/>
    <w:rsid w:val="002D6B8E"/>
    <w:rsid w:val="002E7252"/>
    <w:rsid w:val="003556CA"/>
    <w:rsid w:val="003C1F8E"/>
    <w:rsid w:val="003C54C6"/>
    <w:rsid w:val="003D4130"/>
    <w:rsid w:val="00405DA7"/>
    <w:rsid w:val="004577C4"/>
    <w:rsid w:val="00477564"/>
    <w:rsid w:val="004D30F0"/>
    <w:rsid w:val="005413CA"/>
    <w:rsid w:val="00584F98"/>
    <w:rsid w:val="005A04E1"/>
    <w:rsid w:val="005C4D25"/>
    <w:rsid w:val="005C5614"/>
    <w:rsid w:val="005C7FFC"/>
    <w:rsid w:val="005E07CD"/>
    <w:rsid w:val="00605891"/>
    <w:rsid w:val="006128B9"/>
    <w:rsid w:val="00613A2F"/>
    <w:rsid w:val="0063528C"/>
    <w:rsid w:val="00667838"/>
    <w:rsid w:val="00680E44"/>
    <w:rsid w:val="00690495"/>
    <w:rsid w:val="00696BE2"/>
    <w:rsid w:val="006B5D91"/>
    <w:rsid w:val="006C2BB4"/>
    <w:rsid w:val="0074518A"/>
    <w:rsid w:val="00773A65"/>
    <w:rsid w:val="007808B0"/>
    <w:rsid w:val="00793706"/>
    <w:rsid w:val="007B74BA"/>
    <w:rsid w:val="0080386E"/>
    <w:rsid w:val="0080562D"/>
    <w:rsid w:val="00887099"/>
    <w:rsid w:val="008877C2"/>
    <w:rsid w:val="008C4598"/>
    <w:rsid w:val="00935CA1"/>
    <w:rsid w:val="00946D3E"/>
    <w:rsid w:val="00954AF8"/>
    <w:rsid w:val="00986E5D"/>
    <w:rsid w:val="009948CE"/>
    <w:rsid w:val="00A016FD"/>
    <w:rsid w:val="00A16F35"/>
    <w:rsid w:val="00A24223"/>
    <w:rsid w:val="00A43E17"/>
    <w:rsid w:val="00A72C07"/>
    <w:rsid w:val="00A73240"/>
    <w:rsid w:val="00A7329A"/>
    <w:rsid w:val="00A900CA"/>
    <w:rsid w:val="00AB049B"/>
    <w:rsid w:val="00AB18BA"/>
    <w:rsid w:val="00AD5757"/>
    <w:rsid w:val="00AF1D04"/>
    <w:rsid w:val="00AF1E16"/>
    <w:rsid w:val="00AF3522"/>
    <w:rsid w:val="00B02B8F"/>
    <w:rsid w:val="00B27555"/>
    <w:rsid w:val="00B6504B"/>
    <w:rsid w:val="00B657C6"/>
    <w:rsid w:val="00BB1FFD"/>
    <w:rsid w:val="00BD6DF2"/>
    <w:rsid w:val="00C544BD"/>
    <w:rsid w:val="00C608E4"/>
    <w:rsid w:val="00CA04A0"/>
    <w:rsid w:val="00CA0522"/>
    <w:rsid w:val="00CA1E33"/>
    <w:rsid w:val="00CA2A1A"/>
    <w:rsid w:val="00CD63EA"/>
    <w:rsid w:val="00CF49F1"/>
    <w:rsid w:val="00D37530"/>
    <w:rsid w:val="00D37AFD"/>
    <w:rsid w:val="00D5294C"/>
    <w:rsid w:val="00D663BF"/>
    <w:rsid w:val="00E11813"/>
    <w:rsid w:val="00E32C94"/>
    <w:rsid w:val="00E83186"/>
    <w:rsid w:val="00E853B2"/>
    <w:rsid w:val="00E93632"/>
    <w:rsid w:val="00EC6CB4"/>
    <w:rsid w:val="00EE22F4"/>
    <w:rsid w:val="00F101F0"/>
    <w:rsid w:val="00F11A19"/>
    <w:rsid w:val="00F35777"/>
    <w:rsid w:val="00F36B5F"/>
    <w:rsid w:val="00F5483A"/>
    <w:rsid w:val="00F556DE"/>
    <w:rsid w:val="00F610EE"/>
    <w:rsid w:val="00FB6E5D"/>
    <w:rsid w:val="00FC5F7D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0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0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3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coordination.bluecrossmn.com/msho/secureblue-msho-supplemental-benefi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wp-content/uploads/2024/01/2024-SecureBlue-MSHO-Supplemental-Benefits-Grid_1-24-24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a.visa.com/content/dam/VCOM/download/merchants/visa-merchant-data-standards-manual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recoordination.bluecrossmn.com/msho/secureblue-msho-supplemental-benefi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889</Words>
  <Characters>5069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Melinda Heaser</cp:lastModifiedBy>
  <cp:revision>4</cp:revision>
  <cp:lastPrinted>2023-04-13T19:37:00Z</cp:lastPrinted>
  <dcterms:created xsi:type="dcterms:W3CDTF">2024-02-15T20:04:00Z</dcterms:created>
  <dcterms:modified xsi:type="dcterms:W3CDTF">2024-02-16T20:20:00Z</dcterms:modified>
</cp:coreProperties>
</file>